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0A" w:rsidRDefault="000E1765">
      <w:r w:rsidRPr="000E1765">
        <w:drawing>
          <wp:inline distT="0" distB="0" distL="0" distR="0">
            <wp:extent cx="1905000" cy="685800"/>
            <wp:effectExtent l="19050" t="0" r="0" b="0"/>
            <wp:docPr id="1" name="Picture 1" descr="http://www.amelexinc.com/App_Themes/Default/Images/Companies/sam.b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lexinc.com/App_Themes/Default/Images/Companies/sam.bmp">
                      <a:hlinkClick r:id="rId5" tgtFrame="_blank"/>
                    </pic:cNvPr>
                    <pic:cNvPicPr>
                      <a:picLocks noChangeAspect="1" noChangeArrowheads="1"/>
                    </pic:cNvPicPr>
                  </pic:nvPicPr>
                  <pic:blipFill>
                    <a:blip r:embed="rId6"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p w:rsidR="000E1765" w:rsidRDefault="000E1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940"/>
        <w:gridCol w:w="1586"/>
        <w:gridCol w:w="1587"/>
        <w:gridCol w:w="1855"/>
      </w:tblGrid>
      <w:tr w:rsidR="000E1765" w:rsidRPr="005828F0" w:rsidTr="00B206B7">
        <w:tc>
          <w:tcPr>
            <w:tcW w:w="4548" w:type="dxa"/>
            <w:gridSpan w:val="2"/>
            <w:shd w:val="pct10" w:color="auto" w:fill="auto"/>
            <w:vAlign w:val="center"/>
          </w:tcPr>
          <w:p w:rsidR="000E1765" w:rsidRDefault="000E1765" w:rsidP="00B206B7">
            <w:pPr>
              <w:spacing w:after="0"/>
              <w:jc w:val="center"/>
              <w:rPr>
                <w:b/>
              </w:rPr>
            </w:pPr>
            <w:r w:rsidRPr="005828F0">
              <w:rPr>
                <w:b/>
              </w:rPr>
              <w:t>Functional Areas</w:t>
            </w:r>
          </w:p>
          <w:p w:rsidR="000E1765" w:rsidRPr="005828F0" w:rsidRDefault="000E1765" w:rsidP="00B206B7">
            <w:pPr>
              <w:spacing w:after="0"/>
              <w:jc w:val="center"/>
              <w:rPr>
                <w:b/>
              </w:rPr>
            </w:pPr>
            <w:r w:rsidRPr="005828F0">
              <w:rPr>
                <w:b/>
                <w:sz w:val="18"/>
                <w:szCs w:val="18"/>
              </w:rPr>
              <w:t>Functional Area(s) of the Statement of Work</w:t>
            </w:r>
          </w:p>
        </w:tc>
        <w:tc>
          <w:tcPr>
            <w:tcW w:w="1586" w:type="dxa"/>
            <w:shd w:val="pct10" w:color="auto" w:fill="auto"/>
            <w:vAlign w:val="center"/>
          </w:tcPr>
          <w:p w:rsidR="000E1765" w:rsidRPr="00020B02" w:rsidRDefault="000E1765" w:rsidP="00B206B7">
            <w:pPr>
              <w:spacing w:after="0"/>
              <w:jc w:val="center"/>
              <w:rPr>
                <w:b/>
              </w:rPr>
            </w:pPr>
            <w:r>
              <w:rPr>
                <w:b/>
              </w:rPr>
              <w:t>Ability in Functional Area</w:t>
            </w:r>
          </w:p>
          <w:p w:rsidR="000E1765" w:rsidRPr="00020B02" w:rsidRDefault="000E1765" w:rsidP="00B206B7">
            <w:pPr>
              <w:spacing w:after="0"/>
              <w:jc w:val="center"/>
              <w:rPr>
                <w:b/>
              </w:rPr>
            </w:pPr>
            <w:r>
              <w:rPr>
                <w:b/>
                <w:sz w:val="18"/>
                <w:szCs w:val="18"/>
              </w:rPr>
              <w:t>(</w:t>
            </w:r>
            <w:r w:rsidRPr="005828F0">
              <w:rPr>
                <w:b/>
                <w:sz w:val="18"/>
                <w:szCs w:val="18"/>
              </w:rPr>
              <w:t>yes or no</w:t>
            </w:r>
            <w:r>
              <w:rPr>
                <w:b/>
                <w:sz w:val="18"/>
                <w:szCs w:val="18"/>
              </w:rPr>
              <w:t>)</w:t>
            </w:r>
          </w:p>
        </w:tc>
        <w:tc>
          <w:tcPr>
            <w:tcW w:w="1587" w:type="dxa"/>
            <w:shd w:val="pct10" w:color="auto" w:fill="auto"/>
            <w:vAlign w:val="center"/>
          </w:tcPr>
          <w:p w:rsidR="000E1765" w:rsidRPr="00020B02" w:rsidRDefault="000E1765" w:rsidP="00B206B7">
            <w:pPr>
              <w:spacing w:after="0"/>
              <w:jc w:val="center"/>
              <w:rPr>
                <w:b/>
              </w:rPr>
            </w:pPr>
            <w:r>
              <w:rPr>
                <w:b/>
              </w:rPr>
              <w:t>Last 3 Years of Service Experience</w:t>
            </w:r>
            <w:r w:rsidRPr="00020B02">
              <w:rPr>
                <w:b/>
              </w:rPr>
              <w:t xml:space="preserve"> </w:t>
            </w:r>
          </w:p>
          <w:p w:rsidR="000E1765" w:rsidRPr="00020B02" w:rsidRDefault="000E1765" w:rsidP="00B206B7">
            <w:pPr>
              <w:spacing w:after="0"/>
              <w:jc w:val="center"/>
              <w:rPr>
                <w:b/>
              </w:rPr>
            </w:pPr>
            <w:r>
              <w:rPr>
                <w:b/>
                <w:sz w:val="18"/>
                <w:szCs w:val="18"/>
              </w:rPr>
              <w:t>(</w:t>
            </w:r>
            <w:r w:rsidRPr="005828F0">
              <w:rPr>
                <w:b/>
                <w:sz w:val="18"/>
                <w:szCs w:val="18"/>
              </w:rPr>
              <w:t>yes or no</w:t>
            </w:r>
            <w:r>
              <w:rPr>
                <w:b/>
                <w:sz w:val="18"/>
                <w:szCs w:val="18"/>
              </w:rPr>
              <w:t>)</w:t>
            </w:r>
          </w:p>
        </w:tc>
        <w:tc>
          <w:tcPr>
            <w:tcW w:w="1855" w:type="dxa"/>
            <w:shd w:val="pct10" w:color="auto" w:fill="auto"/>
            <w:vAlign w:val="center"/>
          </w:tcPr>
          <w:p w:rsidR="000E1765" w:rsidRDefault="000E1765" w:rsidP="00B206B7">
            <w:pPr>
              <w:spacing w:after="0"/>
              <w:jc w:val="center"/>
              <w:rPr>
                <w:b/>
              </w:rPr>
            </w:pPr>
            <w:r>
              <w:rPr>
                <w:b/>
              </w:rPr>
              <w:t>List</w:t>
            </w:r>
          </w:p>
          <w:p w:rsidR="000E1765" w:rsidRDefault="000E1765" w:rsidP="00B206B7">
            <w:pPr>
              <w:spacing w:after="0"/>
              <w:jc w:val="center"/>
              <w:rPr>
                <w:b/>
              </w:rPr>
            </w:pPr>
            <w:r>
              <w:rPr>
                <w:b/>
              </w:rPr>
              <w:t>Program Office</w:t>
            </w:r>
          </w:p>
        </w:tc>
      </w:tr>
      <w:tr w:rsidR="000E1765" w:rsidRPr="005828F0" w:rsidTr="00B206B7">
        <w:tc>
          <w:tcPr>
            <w:tcW w:w="608" w:type="dxa"/>
          </w:tcPr>
          <w:p w:rsidR="000E1765" w:rsidRPr="005828F0" w:rsidRDefault="000E1765" w:rsidP="00B206B7">
            <w:pPr>
              <w:spacing w:after="0"/>
              <w:jc w:val="right"/>
            </w:pPr>
            <w:r>
              <w:t xml:space="preserve">3.1 </w:t>
            </w:r>
          </w:p>
        </w:tc>
        <w:tc>
          <w:tcPr>
            <w:tcW w:w="3940" w:type="dxa"/>
          </w:tcPr>
          <w:p w:rsidR="000E1765" w:rsidRPr="005828F0" w:rsidRDefault="000E1765" w:rsidP="00B206B7">
            <w:pPr>
              <w:spacing w:after="0"/>
            </w:pPr>
            <w:r>
              <w:t>Research and Development</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PMA-265</w:t>
            </w:r>
          </w:p>
        </w:tc>
      </w:tr>
      <w:tr w:rsidR="000E1765" w:rsidRPr="005828F0" w:rsidTr="00B206B7">
        <w:tc>
          <w:tcPr>
            <w:tcW w:w="608" w:type="dxa"/>
          </w:tcPr>
          <w:p w:rsidR="000E1765" w:rsidRPr="005828F0" w:rsidRDefault="000E1765" w:rsidP="00B206B7">
            <w:pPr>
              <w:spacing w:after="0"/>
              <w:jc w:val="right"/>
            </w:pPr>
            <w:r>
              <w:t xml:space="preserve">3.2 </w:t>
            </w:r>
          </w:p>
        </w:tc>
        <w:tc>
          <w:tcPr>
            <w:tcW w:w="3940" w:type="dxa"/>
          </w:tcPr>
          <w:p w:rsidR="000E1765" w:rsidRPr="005828F0" w:rsidRDefault="000E1765" w:rsidP="00B206B7">
            <w:pPr>
              <w:spacing w:after="0"/>
            </w:pPr>
            <w:r>
              <w:t>Engineering, System Engineering and Process Engineering</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PMA-265</w:t>
            </w:r>
          </w:p>
        </w:tc>
      </w:tr>
      <w:tr w:rsidR="000E1765" w:rsidRPr="005828F0" w:rsidTr="00B206B7">
        <w:tc>
          <w:tcPr>
            <w:tcW w:w="608" w:type="dxa"/>
          </w:tcPr>
          <w:p w:rsidR="000E1765" w:rsidRDefault="000E1765" w:rsidP="00B206B7">
            <w:pPr>
              <w:spacing w:after="0"/>
              <w:jc w:val="right"/>
            </w:pPr>
            <w:r>
              <w:t>3.3</w:t>
            </w:r>
          </w:p>
        </w:tc>
        <w:tc>
          <w:tcPr>
            <w:tcW w:w="3940" w:type="dxa"/>
          </w:tcPr>
          <w:p w:rsidR="000E1765" w:rsidRDefault="000E1765" w:rsidP="00B206B7">
            <w:pPr>
              <w:spacing w:after="0"/>
            </w:pPr>
            <w:r>
              <w:t>Modeling, Simulation, Stimulation, and Analysis</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rPr>
                <w:szCs w:val="20"/>
              </w:rPr>
              <w:t>PEO IWS 3.0</w:t>
            </w:r>
          </w:p>
        </w:tc>
      </w:tr>
      <w:tr w:rsidR="000E1765" w:rsidRPr="005828F0" w:rsidTr="00B206B7">
        <w:tc>
          <w:tcPr>
            <w:tcW w:w="608" w:type="dxa"/>
          </w:tcPr>
          <w:p w:rsidR="000E1765" w:rsidRDefault="000E1765" w:rsidP="00B206B7">
            <w:pPr>
              <w:spacing w:after="0"/>
              <w:jc w:val="right"/>
            </w:pPr>
            <w:r>
              <w:t>3.4</w:t>
            </w:r>
          </w:p>
        </w:tc>
        <w:tc>
          <w:tcPr>
            <w:tcW w:w="3940" w:type="dxa"/>
          </w:tcPr>
          <w:p w:rsidR="000E1765" w:rsidRDefault="000E1765" w:rsidP="00B206B7">
            <w:pPr>
              <w:spacing w:after="0"/>
            </w:pPr>
            <w:r>
              <w:t>Prototyping, Pre-Production, Model-Making and Fabrication</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3.5</w:t>
            </w:r>
          </w:p>
        </w:tc>
        <w:tc>
          <w:tcPr>
            <w:tcW w:w="3940" w:type="dxa"/>
          </w:tcPr>
          <w:p w:rsidR="000E1765" w:rsidRDefault="000E1765" w:rsidP="00B206B7">
            <w:pPr>
              <w:spacing w:after="0"/>
            </w:pPr>
            <w:r>
              <w:t>System Design Documentation and Technical Data</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PMA-265</w:t>
            </w:r>
          </w:p>
        </w:tc>
      </w:tr>
      <w:tr w:rsidR="000E1765" w:rsidRPr="005828F0" w:rsidTr="00B206B7">
        <w:tc>
          <w:tcPr>
            <w:tcW w:w="608" w:type="dxa"/>
          </w:tcPr>
          <w:p w:rsidR="000E1765" w:rsidRDefault="000E1765" w:rsidP="00B206B7">
            <w:pPr>
              <w:spacing w:after="0"/>
              <w:jc w:val="right"/>
            </w:pPr>
            <w:r>
              <w:t>3.6</w:t>
            </w:r>
          </w:p>
        </w:tc>
        <w:tc>
          <w:tcPr>
            <w:tcW w:w="3940" w:type="dxa"/>
          </w:tcPr>
          <w:p w:rsidR="000E1765" w:rsidRDefault="000E1765" w:rsidP="00B206B7">
            <w:pPr>
              <w:spacing w:after="0"/>
            </w:pPr>
            <w:r>
              <w:t>Software Engineering, Development, Programming, and Network</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PMA-265</w:t>
            </w:r>
          </w:p>
        </w:tc>
      </w:tr>
      <w:tr w:rsidR="000E1765" w:rsidRPr="005828F0" w:rsidTr="00B206B7">
        <w:tc>
          <w:tcPr>
            <w:tcW w:w="608" w:type="dxa"/>
          </w:tcPr>
          <w:p w:rsidR="000E1765" w:rsidRDefault="000E1765" w:rsidP="00B206B7">
            <w:pPr>
              <w:spacing w:after="0"/>
              <w:jc w:val="right"/>
            </w:pPr>
            <w:r>
              <w:t>3.7</w:t>
            </w:r>
          </w:p>
        </w:tc>
        <w:tc>
          <w:tcPr>
            <w:tcW w:w="3940" w:type="dxa"/>
          </w:tcPr>
          <w:p w:rsidR="000E1765" w:rsidRDefault="000E1765" w:rsidP="00B206B7">
            <w:pPr>
              <w:spacing w:after="0"/>
            </w:pPr>
            <w:r>
              <w:t>Reliability, Maintainability, and Availability (RM&amp;A)</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3.8</w:t>
            </w:r>
          </w:p>
        </w:tc>
        <w:tc>
          <w:tcPr>
            <w:tcW w:w="3940" w:type="dxa"/>
          </w:tcPr>
          <w:p w:rsidR="000E1765" w:rsidRDefault="000E1765" w:rsidP="00B206B7">
            <w:pPr>
              <w:spacing w:after="0"/>
            </w:pPr>
            <w:r>
              <w:t>Human Factors, Performance, and Usability Engineering</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3.9</w:t>
            </w:r>
          </w:p>
        </w:tc>
        <w:tc>
          <w:tcPr>
            <w:tcW w:w="3940" w:type="dxa"/>
          </w:tcPr>
          <w:p w:rsidR="000E1765" w:rsidRDefault="000E1765" w:rsidP="00B206B7">
            <w:pPr>
              <w:spacing w:after="0"/>
            </w:pPr>
            <w:r>
              <w:t>System Safety Engineering</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3.10</w:t>
            </w:r>
          </w:p>
        </w:tc>
        <w:tc>
          <w:tcPr>
            <w:tcW w:w="3940" w:type="dxa"/>
          </w:tcPr>
          <w:p w:rsidR="000E1765" w:rsidRDefault="000E1765" w:rsidP="00B206B7">
            <w:pPr>
              <w:spacing w:after="0"/>
            </w:pPr>
            <w:r>
              <w:t>Configuration Management</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 xml:space="preserve">Warfare </w:t>
            </w:r>
            <w:smartTag w:uri="urn:schemas-microsoft-com:office:smarttags" w:element="City">
              <w:smartTag w:uri="urn:schemas-microsoft-com:office:smarttags" w:element="place">
                <w:r>
                  <w:t>Enterprise</w:t>
                </w:r>
              </w:smartTag>
            </w:smartTag>
          </w:p>
        </w:tc>
      </w:tr>
      <w:tr w:rsidR="000E1765" w:rsidRPr="005828F0" w:rsidTr="00B206B7">
        <w:tc>
          <w:tcPr>
            <w:tcW w:w="608" w:type="dxa"/>
          </w:tcPr>
          <w:p w:rsidR="000E1765" w:rsidRDefault="000E1765" w:rsidP="00B206B7">
            <w:pPr>
              <w:spacing w:after="0"/>
              <w:jc w:val="right"/>
            </w:pPr>
            <w:r>
              <w:t>3.11</w:t>
            </w:r>
          </w:p>
        </w:tc>
        <w:tc>
          <w:tcPr>
            <w:tcW w:w="3940" w:type="dxa"/>
          </w:tcPr>
          <w:p w:rsidR="000E1765" w:rsidRDefault="000E1765" w:rsidP="00B206B7">
            <w:pPr>
              <w:spacing w:after="0"/>
            </w:pPr>
            <w:r>
              <w:t>Quality Assurance</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3.12</w:t>
            </w:r>
          </w:p>
        </w:tc>
        <w:tc>
          <w:tcPr>
            <w:tcW w:w="3940" w:type="dxa"/>
          </w:tcPr>
          <w:p w:rsidR="000E1765" w:rsidRDefault="000E1765" w:rsidP="00B206B7">
            <w:pPr>
              <w:spacing w:after="0"/>
            </w:pPr>
            <w:r>
              <w:t>Information Assurance (IA), and Information Technology</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3.13</w:t>
            </w:r>
          </w:p>
        </w:tc>
        <w:tc>
          <w:tcPr>
            <w:tcW w:w="3940" w:type="dxa"/>
          </w:tcPr>
          <w:p w:rsidR="000E1765" w:rsidRDefault="000E1765" w:rsidP="00B206B7">
            <w:pPr>
              <w:spacing w:after="0"/>
            </w:pPr>
            <w:r>
              <w:t>Ship Inactivation and Disposal</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3.14</w:t>
            </w:r>
          </w:p>
        </w:tc>
        <w:tc>
          <w:tcPr>
            <w:tcW w:w="3940" w:type="dxa"/>
          </w:tcPr>
          <w:p w:rsidR="000E1765" w:rsidRDefault="000E1765" w:rsidP="00B206B7">
            <w:pPr>
              <w:spacing w:after="0"/>
            </w:pPr>
            <w:r>
              <w:t>Interoperability, Test and Evaluation, Trials</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3.15</w:t>
            </w:r>
          </w:p>
        </w:tc>
        <w:tc>
          <w:tcPr>
            <w:tcW w:w="3940" w:type="dxa"/>
          </w:tcPr>
          <w:p w:rsidR="000E1765" w:rsidRDefault="000E1765" w:rsidP="00B206B7">
            <w:pPr>
              <w:spacing w:after="0"/>
            </w:pPr>
            <w:r>
              <w:t>Measurement Facilities, Range, and Instrumentation</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3.16</w:t>
            </w:r>
          </w:p>
        </w:tc>
        <w:tc>
          <w:tcPr>
            <w:tcW w:w="3940" w:type="dxa"/>
          </w:tcPr>
          <w:p w:rsidR="000E1765" w:rsidRDefault="000E1765" w:rsidP="00B206B7">
            <w:pPr>
              <w:spacing w:after="0"/>
            </w:pPr>
            <w:r>
              <w:t>Acquisition Logistics</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 xml:space="preserve">PMA-201 </w:t>
            </w:r>
          </w:p>
        </w:tc>
      </w:tr>
      <w:tr w:rsidR="000E1765" w:rsidRPr="005828F0" w:rsidTr="00B206B7">
        <w:tc>
          <w:tcPr>
            <w:tcW w:w="608" w:type="dxa"/>
          </w:tcPr>
          <w:p w:rsidR="000E1765" w:rsidRDefault="000E1765" w:rsidP="00B206B7">
            <w:pPr>
              <w:spacing w:after="0"/>
              <w:jc w:val="right"/>
            </w:pPr>
            <w:r>
              <w:t>3.17</w:t>
            </w:r>
          </w:p>
        </w:tc>
        <w:tc>
          <w:tcPr>
            <w:tcW w:w="3940" w:type="dxa"/>
          </w:tcPr>
          <w:p w:rsidR="000E1765" w:rsidRDefault="000E1765" w:rsidP="00B206B7">
            <w:pPr>
              <w:spacing w:after="0"/>
            </w:pPr>
            <w:r>
              <w:t>Supply and Provisioning</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3.18</w:t>
            </w:r>
          </w:p>
        </w:tc>
        <w:tc>
          <w:tcPr>
            <w:tcW w:w="3940" w:type="dxa"/>
          </w:tcPr>
          <w:p w:rsidR="000E1765" w:rsidRDefault="000E1765" w:rsidP="00B206B7">
            <w:pPr>
              <w:spacing w:after="0"/>
            </w:pPr>
            <w:r>
              <w:t>Training</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3.19</w:t>
            </w:r>
          </w:p>
        </w:tc>
        <w:tc>
          <w:tcPr>
            <w:tcW w:w="3940" w:type="dxa"/>
          </w:tcPr>
          <w:p w:rsidR="000E1765" w:rsidRDefault="000E1765" w:rsidP="00B206B7">
            <w:pPr>
              <w:spacing w:after="0"/>
            </w:pPr>
            <w:r>
              <w:t>In-Service Engineering, Fleet Introduction, Installation and Checkout</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lastRenderedPageBreak/>
              <w:t>3.20</w:t>
            </w:r>
          </w:p>
        </w:tc>
        <w:tc>
          <w:tcPr>
            <w:tcW w:w="3940" w:type="dxa"/>
          </w:tcPr>
          <w:p w:rsidR="000E1765" w:rsidRDefault="000E1765" w:rsidP="00B206B7">
            <w:pPr>
              <w:spacing w:after="0"/>
            </w:pPr>
            <w:r>
              <w:t>Program</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r>
              <w:t>3.21</w:t>
            </w:r>
          </w:p>
        </w:tc>
        <w:tc>
          <w:tcPr>
            <w:tcW w:w="3940" w:type="dxa"/>
          </w:tcPr>
          <w:p w:rsidR="000E1765" w:rsidRDefault="000E1765" w:rsidP="00B206B7">
            <w:pPr>
              <w:spacing w:after="0"/>
            </w:pPr>
            <w:r>
              <w:t>Administrative</w:t>
            </w:r>
          </w:p>
        </w:tc>
        <w:tc>
          <w:tcPr>
            <w:tcW w:w="1586" w:type="dxa"/>
          </w:tcPr>
          <w:p w:rsidR="000E1765" w:rsidRPr="005828F0" w:rsidRDefault="000E1765" w:rsidP="00B206B7">
            <w:pPr>
              <w:spacing w:after="0"/>
              <w:jc w:val="center"/>
            </w:pPr>
            <w:r>
              <w:t>Yes</w:t>
            </w:r>
          </w:p>
        </w:tc>
        <w:tc>
          <w:tcPr>
            <w:tcW w:w="1587" w:type="dxa"/>
          </w:tcPr>
          <w:p w:rsidR="000E1765" w:rsidRPr="005828F0" w:rsidRDefault="000E1765" w:rsidP="00B206B7">
            <w:pPr>
              <w:spacing w:after="0"/>
              <w:jc w:val="center"/>
            </w:pPr>
            <w:r>
              <w:t>Yes</w:t>
            </w:r>
          </w:p>
        </w:tc>
        <w:tc>
          <w:tcPr>
            <w:tcW w:w="1855" w:type="dxa"/>
          </w:tcPr>
          <w:p w:rsidR="000E1765" w:rsidRPr="005828F0" w:rsidRDefault="000E1765" w:rsidP="00B206B7">
            <w:pPr>
              <w:spacing w:after="0"/>
            </w:pPr>
            <w:r>
              <w:t>SAIL</w:t>
            </w:r>
          </w:p>
        </w:tc>
      </w:tr>
      <w:tr w:rsidR="000E1765" w:rsidRPr="005828F0" w:rsidTr="00B206B7">
        <w:tc>
          <w:tcPr>
            <w:tcW w:w="608" w:type="dxa"/>
          </w:tcPr>
          <w:p w:rsidR="000E1765" w:rsidRDefault="000E1765" w:rsidP="00B206B7">
            <w:pPr>
              <w:spacing w:after="0"/>
              <w:jc w:val="right"/>
            </w:pPr>
            <w:r>
              <w:t>3.22</w:t>
            </w:r>
          </w:p>
        </w:tc>
        <w:tc>
          <w:tcPr>
            <w:tcW w:w="3940" w:type="dxa"/>
          </w:tcPr>
          <w:p w:rsidR="000E1765" w:rsidRDefault="000E1765" w:rsidP="00B206B7">
            <w:pPr>
              <w:spacing w:after="0"/>
            </w:pPr>
            <w:r>
              <w:t>Public Affairs and Multimedia</w:t>
            </w: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r w:rsidR="000E1765" w:rsidRPr="005828F0" w:rsidTr="00B206B7">
        <w:tc>
          <w:tcPr>
            <w:tcW w:w="608" w:type="dxa"/>
          </w:tcPr>
          <w:p w:rsidR="000E1765" w:rsidRDefault="000E1765" w:rsidP="00B206B7">
            <w:pPr>
              <w:spacing w:after="0"/>
              <w:jc w:val="right"/>
            </w:pPr>
          </w:p>
        </w:tc>
        <w:tc>
          <w:tcPr>
            <w:tcW w:w="3940" w:type="dxa"/>
          </w:tcPr>
          <w:p w:rsidR="000E1765" w:rsidRDefault="000E1765" w:rsidP="00B206B7">
            <w:pPr>
              <w:spacing w:after="0"/>
            </w:pPr>
          </w:p>
        </w:tc>
        <w:tc>
          <w:tcPr>
            <w:tcW w:w="1586" w:type="dxa"/>
          </w:tcPr>
          <w:p w:rsidR="000E1765" w:rsidRPr="005828F0" w:rsidRDefault="000E1765" w:rsidP="00B206B7">
            <w:pPr>
              <w:spacing w:after="0"/>
              <w:jc w:val="center"/>
            </w:pPr>
          </w:p>
        </w:tc>
        <w:tc>
          <w:tcPr>
            <w:tcW w:w="1587" w:type="dxa"/>
          </w:tcPr>
          <w:p w:rsidR="000E1765" w:rsidRPr="005828F0" w:rsidRDefault="000E1765" w:rsidP="00B206B7">
            <w:pPr>
              <w:spacing w:after="0"/>
              <w:jc w:val="center"/>
            </w:pPr>
          </w:p>
        </w:tc>
        <w:tc>
          <w:tcPr>
            <w:tcW w:w="1855" w:type="dxa"/>
          </w:tcPr>
          <w:p w:rsidR="000E1765" w:rsidRPr="005828F0" w:rsidRDefault="000E1765" w:rsidP="00B206B7">
            <w:pPr>
              <w:spacing w:after="0"/>
            </w:pPr>
          </w:p>
        </w:tc>
      </w:tr>
    </w:tbl>
    <w:p w:rsidR="000E1765" w:rsidRDefault="000E1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E1765" w:rsidRPr="005828F0" w:rsidTr="00B206B7">
        <w:tc>
          <w:tcPr>
            <w:tcW w:w="9576" w:type="dxa"/>
            <w:shd w:val="pct10" w:color="auto" w:fill="auto"/>
          </w:tcPr>
          <w:p w:rsidR="000E1765" w:rsidRPr="005828F0" w:rsidRDefault="000E1765" w:rsidP="00B206B7">
            <w:pPr>
              <w:spacing w:after="0"/>
              <w:jc w:val="center"/>
              <w:rPr>
                <w:b/>
              </w:rPr>
            </w:pPr>
            <w:r>
              <w:rPr>
                <w:b/>
              </w:rPr>
              <w:t>Past Performance</w:t>
            </w:r>
          </w:p>
          <w:p w:rsidR="000E1765" w:rsidRPr="005828F0" w:rsidRDefault="000E1765" w:rsidP="00B206B7">
            <w:pPr>
              <w:spacing w:after="0"/>
              <w:jc w:val="center"/>
              <w:rPr>
                <w:b/>
                <w:sz w:val="18"/>
                <w:szCs w:val="18"/>
              </w:rPr>
            </w:pPr>
            <w:r>
              <w:rPr>
                <w:b/>
                <w:sz w:val="18"/>
                <w:szCs w:val="18"/>
              </w:rPr>
              <w:t>List company past performance along with customer names and phone numbers.</w:t>
            </w:r>
          </w:p>
        </w:tc>
      </w:tr>
      <w:tr w:rsidR="000E1765" w:rsidRPr="005828F0" w:rsidTr="00B206B7">
        <w:tc>
          <w:tcPr>
            <w:tcW w:w="9576" w:type="dxa"/>
          </w:tcPr>
          <w:p w:rsidR="000E1765" w:rsidRPr="001F4411" w:rsidRDefault="000E1765" w:rsidP="000E1765">
            <w:pPr>
              <w:numPr>
                <w:ilvl w:val="0"/>
                <w:numId w:val="1"/>
              </w:numPr>
              <w:spacing w:after="0" w:line="240" w:lineRule="auto"/>
            </w:pPr>
            <w:r>
              <w:t xml:space="preserve">Prime Contract, </w:t>
            </w:r>
            <w:r w:rsidRPr="001F4411">
              <w:rPr>
                <w:color w:val="000002"/>
              </w:rPr>
              <w:t>Contract No. N00421-04-D-0047</w:t>
            </w:r>
          </w:p>
          <w:p w:rsidR="000E1765" w:rsidRDefault="000E1765" w:rsidP="00B206B7">
            <w:pPr>
              <w:autoSpaceDE w:val="0"/>
              <w:autoSpaceDN w:val="0"/>
              <w:adjustRightInd w:val="0"/>
              <w:spacing w:after="0"/>
              <w:ind w:firstLine="720"/>
              <w:rPr>
                <w:color w:val="000002"/>
              </w:rPr>
            </w:pPr>
            <w:r>
              <w:rPr>
                <w:color w:val="000002"/>
              </w:rPr>
              <w:t>Program Name: Metrology and Calibration Program Support</w:t>
            </w:r>
          </w:p>
          <w:p w:rsidR="000E1765" w:rsidRDefault="000E1765" w:rsidP="00B206B7">
            <w:pPr>
              <w:autoSpaceDE w:val="0"/>
              <w:autoSpaceDN w:val="0"/>
              <w:adjustRightInd w:val="0"/>
              <w:spacing w:after="0"/>
              <w:ind w:firstLine="720"/>
              <w:rPr>
                <w:color w:val="000002"/>
              </w:rPr>
            </w:pPr>
            <w:r>
              <w:rPr>
                <w:color w:val="000002"/>
              </w:rPr>
              <w:t xml:space="preserve">POC: </w:t>
            </w:r>
            <w:r>
              <w:t xml:space="preserve">RP </w:t>
            </w:r>
            <w:proofErr w:type="spellStart"/>
            <w:r>
              <w:t>Nassar</w:t>
            </w:r>
            <w:proofErr w:type="spellEnd"/>
            <w:r>
              <w:t>, NAVAIRSYSCOM (Code AIR 6.7.6.3), (301) 757-9146</w:t>
            </w:r>
          </w:p>
          <w:p w:rsidR="000E1765" w:rsidRDefault="000E1765" w:rsidP="00B206B7">
            <w:pPr>
              <w:autoSpaceDE w:val="0"/>
              <w:autoSpaceDN w:val="0"/>
              <w:adjustRightInd w:val="0"/>
              <w:spacing w:after="0"/>
              <w:rPr>
                <w:color w:val="000002"/>
              </w:rPr>
            </w:pPr>
          </w:p>
          <w:p w:rsidR="000E1765" w:rsidRPr="005828F0" w:rsidRDefault="000E1765" w:rsidP="00B206B7">
            <w:pPr>
              <w:autoSpaceDE w:val="0"/>
              <w:autoSpaceDN w:val="0"/>
              <w:adjustRightInd w:val="0"/>
              <w:spacing w:after="0"/>
            </w:pPr>
            <w:r>
              <w:rPr>
                <w:color w:val="000002"/>
                <w:szCs w:val="20"/>
              </w:rPr>
              <w:t>The NAVAIR Metrology and Calib</w:t>
            </w:r>
            <w:r>
              <w:rPr>
                <w:color w:val="000002"/>
              </w:rPr>
              <w:t>ration (METCAL) Program provided</w:t>
            </w:r>
            <w:r>
              <w:rPr>
                <w:color w:val="000002"/>
                <w:szCs w:val="20"/>
              </w:rPr>
              <w:t xml:space="preserve"> primary support to Program Manager at AIR-3.9.2, </w:t>
            </w:r>
            <w:smartTag w:uri="urn:schemas-microsoft-com:office:smarttags" w:element="address">
              <w:smartTag w:uri="urn:schemas-microsoft-com:office:smarttags" w:element="Street">
                <w:r>
                  <w:rPr>
                    <w:color w:val="000002"/>
                    <w:szCs w:val="20"/>
                  </w:rPr>
                  <w:t>22113 Fortin Circle</w:t>
                </w:r>
              </w:smartTag>
              <w:r>
                <w:rPr>
                  <w:color w:val="000002"/>
                  <w:szCs w:val="20"/>
                </w:rPr>
                <w:t xml:space="preserve">, </w:t>
              </w:r>
              <w:proofErr w:type="spellStart"/>
              <w:smartTag w:uri="urn:schemas-microsoft-com:office:smarttags" w:element="City">
                <w:r>
                  <w:rPr>
                    <w:color w:val="000002"/>
                    <w:szCs w:val="20"/>
                  </w:rPr>
                  <w:t>Patuxent</w:t>
                </w:r>
                <w:proofErr w:type="spellEnd"/>
                <w:r>
                  <w:rPr>
                    <w:color w:val="000002"/>
                    <w:szCs w:val="20"/>
                  </w:rPr>
                  <w:t xml:space="preserve"> River</w:t>
                </w:r>
              </w:smartTag>
              <w:r>
                <w:rPr>
                  <w:color w:val="000002"/>
                  <w:szCs w:val="20"/>
                </w:rPr>
                <w:t xml:space="preserve">, </w:t>
              </w:r>
              <w:smartTag w:uri="urn:schemas-microsoft-com:office:smarttags" w:element="State">
                <w:r>
                  <w:rPr>
                    <w:color w:val="000002"/>
                    <w:szCs w:val="20"/>
                  </w:rPr>
                  <w:t>MD</w:t>
                </w:r>
              </w:smartTag>
            </w:smartTag>
            <w:r>
              <w:rPr>
                <w:color w:val="000002"/>
                <w:szCs w:val="20"/>
              </w:rPr>
              <w:t xml:space="preserve"> for precision measurement and calibration capability to all Navy and Marine Corp air combat systems and their associated ground support equipment. The same services </w:t>
            </w:r>
            <w:r>
              <w:rPr>
                <w:color w:val="000002"/>
              </w:rPr>
              <w:t>were</w:t>
            </w:r>
            <w:r>
              <w:rPr>
                <w:color w:val="000002"/>
                <w:szCs w:val="20"/>
              </w:rPr>
              <w:t xml:space="preserve"> provided to requesting foreign country’s military services under various Foreign Military Sales (FMS) cases. </w:t>
            </w:r>
            <w:r>
              <w:rPr>
                <w:color w:val="000002"/>
              </w:rPr>
              <w:t>Scope of work covered the requirements to provide program management support, financial analysis support, technical/engineering support, and logistics and supply support.</w:t>
            </w:r>
          </w:p>
        </w:tc>
      </w:tr>
      <w:tr w:rsidR="000E1765" w:rsidRPr="005828F0" w:rsidTr="00B206B7">
        <w:tc>
          <w:tcPr>
            <w:tcW w:w="9576" w:type="dxa"/>
          </w:tcPr>
          <w:p w:rsidR="000E1765" w:rsidRDefault="000E1765" w:rsidP="00B206B7">
            <w:pPr>
              <w:autoSpaceDE w:val="0"/>
              <w:autoSpaceDN w:val="0"/>
              <w:adjustRightInd w:val="0"/>
              <w:rPr>
                <w:szCs w:val="20"/>
              </w:rPr>
            </w:pPr>
            <w:r>
              <w:rPr>
                <w:szCs w:val="20"/>
              </w:rPr>
              <w:t xml:space="preserve">(2) </w:t>
            </w:r>
            <w:r>
              <w:rPr>
                <w:szCs w:val="20"/>
              </w:rPr>
              <w:tab/>
              <w:t>Subcontractor to BAE Systems, Prime Contract no. N00178-04-D-4018</w:t>
            </w:r>
            <w:r>
              <w:rPr>
                <w:szCs w:val="20"/>
              </w:rPr>
              <w:br/>
              <w:t xml:space="preserve">               Program Name: PEO IWS 3.0</w:t>
            </w:r>
            <w:r>
              <w:rPr>
                <w:szCs w:val="20"/>
              </w:rPr>
              <w:br/>
              <w:t xml:space="preserve">               POC: Joe FitzGerald, Deputy Program Manager, 301-231-1117</w:t>
            </w:r>
          </w:p>
          <w:p w:rsidR="000E1765" w:rsidRDefault="000E1765" w:rsidP="00B206B7">
            <w:pPr>
              <w:spacing w:after="0"/>
            </w:pPr>
            <w:r>
              <w:t>SAM, Inc. works in cooperation and conjunction with BAE Systems in their endeavors to conduct White Sands Missile Range (WSMR) Desert Ship Operational (OP) Program Certification engineering.   In general, primary tasking include flight test plan reviews, flight test adaptation validations for specific test scenarios, design concurrence with missile 6-DOF simulations, development of test program specification including test script design, conducting regression testing, and development and maintenance of associated documentation.  Other tasks supported, as required, include the participation in Test Coordination Panel (TCP), Mission Control Panel (MCP), Mission Readiness Review (MRR), and OP Program Committee meetings</w:t>
            </w:r>
          </w:p>
        </w:tc>
      </w:tr>
      <w:tr w:rsidR="000E1765" w:rsidRPr="005828F0" w:rsidTr="00B206B7">
        <w:tc>
          <w:tcPr>
            <w:tcW w:w="9576" w:type="dxa"/>
          </w:tcPr>
          <w:p w:rsidR="000E1765" w:rsidRDefault="000E1765" w:rsidP="00B206B7">
            <w:pPr>
              <w:autoSpaceDE w:val="0"/>
              <w:autoSpaceDN w:val="0"/>
              <w:adjustRightInd w:val="0"/>
              <w:rPr>
                <w:szCs w:val="20"/>
              </w:rPr>
            </w:pPr>
          </w:p>
        </w:tc>
      </w:tr>
    </w:tbl>
    <w:p w:rsidR="000E1765" w:rsidRDefault="000E1765"/>
    <w:sectPr w:rsidR="000E1765" w:rsidSect="00422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64380"/>
    <w:multiLevelType w:val="hybridMultilevel"/>
    <w:tmpl w:val="F4723DC2"/>
    <w:lvl w:ilvl="0" w:tplc="88489B5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E1765"/>
    <w:rsid w:val="000E1765"/>
    <w:rsid w:val="0042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1.endiva.net/samincorp/portal/PortalHom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Amelex</dc:creator>
  <cp:lastModifiedBy>Amelex</cp:lastModifiedBy>
  <cp:revision>1</cp:revision>
  <dcterms:created xsi:type="dcterms:W3CDTF">2013-10-02T15:33:00Z</dcterms:created>
  <dcterms:modified xsi:type="dcterms:W3CDTF">2013-10-02T15:34:00Z</dcterms:modified>
</cp:coreProperties>
</file>