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08" w:rsidRDefault="00EC3D08" w:rsidP="004C1B7F"/>
    <w:tbl>
      <w:tblPr>
        <w:tblStyle w:val="TableGrid"/>
        <w:tblpPr w:leftFromText="180" w:rightFromText="180" w:vertAnchor="text" w:horzAnchor="margin" w:tblpXSpec="center" w:tblpY="8"/>
        <w:tblW w:w="10080" w:type="dxa"/>
        <w:tblLook w:val="01E0"/>
      </w:tblPr>
      <w:tblGrid>
        <w:gridCol w:w="3708"/>
        <w:gridCol w:w="1890"/>
        <w:gridCol w:w="4482"/>
      </w:tblGrid>
      <w:tr w:rsidR="00EC3D08" w:rsidRPr="00DC3101" w:rsidTr="00EC3D08">
        <w:tc>
          <w:tcPr>
            <w:tcW w:w="10080" w:type="dxa"/>
            <w:gridSpan w:val="3"/>
          </w:tcPr>
          <w:p w:rsidR="00EC3D08" w:rsidRPr="00DC3101" w:rsidRDefault="00EC3D08" w:rsidP="00EC3D08">
            <w:pPr>
              <w:jc w:val="center"/>
              <w:rPr>
                <w:rFonts w:ascii="Arial" w:hAnsi="Arial" w:cs="Arial"/>
                <w:b/>
                <w:bCs/>
                <w:sz w:val="28"/>
                <w:szCs w:val="28"/>
              </w:rPr>
            </w:pPr>
            <w:r>
              <w:rPr>
                <w:rFonts w:ascii="Arial" w:hAnsi="Arial" w:cs="Arial"/>
                <w:b/>
                <w:bCs/>
                <w:sz w:val="28"/>
                <w:szCs w:val="28"/>
              </w:rPr>
              <w:t>Team Experience</w:t>
            </w:r>
          </w:p>
        </w:tc>
      </w:tr>
      <w:tr w:rsidR="00EC3D08" w:rsidRPr="00DC3101" w:rsidTr="00EC3D08">
        <w:tc>
          <w:tcPr>
            <w:tcW w:w="10080" w:type="dxa"/>
            <w:gridSpan w:val="3"/>
          </w:tcPr>
          <w:p w:rsidR="00EC3D08" w:rsidRPr="00DC3101" w:rsidRDefault="00EC3D08" w:rsidP="00EC3D08">
            <w:pPr>
              <w:jc w:val="center"/>
              <w:rPr>
                <w:rFonts w:ascii="Arial" w:hAnsi="Arial" w:cs="Arial"/>
                <w:b/>
                <w:bCs/>
                <w:sz w:val="28"/>
                <w:szCs w:val="28"/>
              </w:rPr>
            </w:pPr>
          </w:p>
        </w:tc>
      </w:tr>
      <w:tr w:rsidR="00EC3D08" w:rsidRPr="00DC3101" w:rsidTr="009F2E63">
        <w:tc>
          <w:tcPr>
            <w:tcW w:w="3708" w:type="dxa"/>
            <w:shd w:val="clear" w:color="auto" w:fill="BFBFBF" w:themeFill="background1" w:themeFillShade="BF"/>
          </w:tcPr>
          <w:p w:rsidR="00EC3D08" w:rsidRPr="00DC3101" w:rsidRDefault="00EC3D08" w:rsidP="00EC3D08">
            <w:pPr>
              <w:jc w:val="center"/>
              <w:rPr>
                <w:rFonts w:ascii="Arial" w:hAnsi="Arial" w:cs="Arial"/>
                <w:b/>
                <w:sz w:val="20"/>
                <w:szCs w:val="20"/>
              </w:rPr>
            </w:pPr>
            <w:r w:rsidRPr="00DC3101">
              <w:rPr>
                <w:rFonts w:ascii="Arial" w:hAnsi="Arial" w:cs="Arial"/>
                <w:b/>
                <w:sz w:val="20"/>
                <w:szCs w:val="20"/>
              </w:rPr>
              <w:t>Functional Area</w:t>
            </w:r>
          </w:p>
        </w:tc>
        <w:tc>
          <w:tcPr>
            <w:tcW w:w="1890" w:type="dxa"/>
            <w:shd w:val="clear" w:color="auto" w:fill="BFBFBF" w:themeFill="background1" w:themeFillShade="BF"/>
          </w:tcPr>
          <w:p w:rsidR="00EC3D08" w:rsidRPr="00DC3101" w:rsidRDefault="00EC3D08" w:rsidP="00EC3D08">
            <w:pPr>
              <w:jc w:val="center"/>
              <w:rPr>
                <w:rFonts w:ascii="Arial" w:hAnsi="Arial" w:cs="Arial"/>
                <w:b/>
                <w:sz w:val="20"/>
                <w:szCs w:val="20"/>
              </w:rPr>
            </w:pPr>
            <w:r w:rsidRPr="00DC3101">
              <w:rPr>
                <w:rFonts w:ascii="Arial" w:hAnsi="Arial" w:cs="Arial"/>
                <w:b/>
                <w:sz w:val="20"/>
                <w:szCs w:val="20"/>
              </w:rPr>
              <w:t>Company</w:t>
            </w:r>
          </w:p>
        </w:tc>
        <w:tc>
          <w:tcPr>
            <w:tcW w:w="4482" w:type="dxa"/>
            <w:shd w:val="clear" w:color="auto" w:fill="BFBFBF" w:themeFill="background1" w:themeFillShade="BF"/>
          </w:tcPr>
          <w:p w:rsidR="00EC3D08" w:rsidRPr="00DC3101" w:rsidRDefault="00EC3D08" w:rsidP="00EC3D08">
            <w:pPr>
              <w:jc w:val="center"/>
              <w:rPr>
                <w:rFonts w:ascii="Arial" w:hAnsi="Arial" w:cs="Arial"/>
                <w:b/>
                <w:bCs/>
                <w:sz w:val="20"/>
                <w:szCs w:val="20"/>
              </w:rPr>
            </w:pPr>
            <w:r w:rsidRPr="00DC3101">
              <w:rPr>
                <w:rFonts w:ascii="Arial" w:hAnsi="Arial" w:cs="Arial"/>
                <w:b/>
                <w:bCs/>
                <w:sz w:val="20"/>
                <w:szCs w:val="20"/>
              </w:rPr>
              <w:t>Experience Relevant to Functional Area Within Past 3 Years</w:t>
            </w:r>
          </w:p>
        </w:tc>
      </w:tr>
      <w:tr w:rsidR="00EC3D08" w:rsidRPr="00E6224C" w:rsidTr="009F2E63">
        <w:tc>
          <w:tcPr>
            <w:tcW w:w="3708" w:type="dxa"/>
            <w:shd w:val="clear" w:color="auto" w:fill="D9D9D9" w:themeFill="background1" w:themeFillShade="D9"/>
          </w:tcPr>
          <w:p w:rsidR="00EC3D08" w:rsidRPr="00E6224C" w:rsidRDefault="00EC3D08" w:rsidP="00EC3D08">
            <w:pPr>
              <w:rPr>
                <w:rFonts w:ascii="Arial" w:hAnsi="Arial" w:cs="Arial"/>
                <w:sz w:val="20"/>
                <w:szCs w:val="20"/>
              </w:rPr>
            </w:pPr>
            <w:r>
              <w:rPr>
                <w:rFonts w:ascii="Arial" w:hAnsi="Arial" w:cs="Arial"/>
                <w:sz w:val="20"/>
                <w:szCs w:val="20"/>
              </w:rPr>
              <w:t>3.1 Research and Development Support</w:t>
            </w:r>
          </w:p>
        </w:tc>
        <w:tc>
          <w:tcPr>
            <w:tcW w:w="1890" w:type="dxa"/>
          </w:tcPr>
          <w:p w:rsidR="00EC3D08" w:rsidRPr="00372521" w:rsidRDefault="005E797C" w:rsidP="00EC3D08">
            <w:pPr>
              <w:rPr>
                <w:rFonts w:ascii="Arial" w:hAnsi="Arial" w:cs="Arial"/>
                <w:sz w:val="20"/>
                <w:szCs w:val="20"/>
              </w:rPr>
            </w:pPr>
            <w:r>
              <w:rPr>
                <w:rFonts w:ascii="Arial" w:hAnsi="Arial" w:cs="Arial"/>
                <w:sz w:val="20"/>
                <w:szCs w:val="20"/>
              </w:rPr>
              <w:t>Camber</w:t>
            </w:r>
          </w:p>
        </w:tc>
        <w:tc>
          <w:tcPr>
            <w:tcW w:w="4482" w:type="dxa"/>
          </w:tcPr>
          <w:p w:rsidR="00EC3D08" w:rsidRPr="00BF3EA8" w:rsidRDefault="005E797C" w:rsidP="00EC3D08">
            <w:pPr>
              <w:rPr>
                <w:sz w:val="20"/>
                <w:szCs w:val="20"/>
              </w:rPr>
            </w:pPr>
            <w:r>
              <w:rPr>
                <w:color w:val="333333"/>
                <w:sz w:val="20"/>
                <w:szCs w:val="20"/>
                <w:lang w:val="en-GB"/>
              </w:rPr>
              <w:t xml:space="preserve">This functional area consists of supporting the development and application of scientific and analytical disciplines to conduct fundamental research; scientific study and experimentation directed toward advancing the state-of-the-art or increasing knowledge or understanding; concept formulation; assessment of system and subsystem requirements; development, analysis and evaluation of concepts, technologies, systems and subsystems; and development of operational concepts and tactics with the end goal being the application of results to developing new or improving existing </w:t>
            </w:r>
            <w:proofErr w:type="spellStart"/>
            <w:r>
              <w:rPr>
                <w:color w:val="333333"/>
                <w:sz w:val="20"/>
                <w:szCs w:val="20"/>
                <w:lang w:val="en-GB"/>
              </w:rPr>
              <w:t>warfighting</w:t>
            </w:r>
            <w:proofErr w:type="spellEnd"/>
            <w:r>
              <w:rPr>
                <w:color w:val="333333"/>
                <w:sz w:val="20"/>
                <w:szCs w:val="20"/>
                <w:lang w:val="en-GB"/>
              </w:rPr>
              <w:t xml:space="preserve"> capabilities</w:t>
            </w:r>
          </w:p>
        </w:tc>
      </w:tr>
      <w:tr w:rsidR="005E797C" w:rsidRPr="00BF3EA8" w:rsidTr="009F2E63">
        <w:tc>
          <w:tcPr>
            <w:tcW w:w="3708" w:type="dxa"/>
            <w:shd w:val="clear" w:color="auto" w:fill="D9D9D9" w:themeFill="background1" w:themeFillShade="D9"/>
          </w:tcPr>
          <w:p w:rsidR="005E797C" w:rsidRPr="00BF3EA8" w:rsidRDefault="005E797C" w:rsidP="00A677A3">
            <w:pPr>
              <w:rPr>
                <w:rFonts w:ascii="Arial" w:hAnsi="Arial" w:cs="Arial"/>
                <w:sz w:val="20"/>
                <w:szCs w:val="20"/>
              </w:rPr>
            </w:pPr>
            <w:r>
              <w:rPr>
                <w:rFonts w:ascii="Arial" w:hAnsi="Arial" w:cs="Arial"/>
                <w:sz w:val="20"/>
                <w:szCs w:val="20"/>
              </w:rPr>
              <w:t>3.2 Engineering, System Engineering and Process Engineering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5E797C" w:rsidP="00A677A3">
            <w:pPr>
              <w:rPr>
                <w:sz w:val="20"/>
                <w:szCs w:val="20"/>
              </w:rPr>
            </w:pPr>
            <w:r>
              <w:rPr>
                <w:color w:val="333333"/>
                <w:sz w:val="20"/>
                <w:szCs w:val="20"/>
                <w:lang w:val="en-GB"/>
              </w:rPr>
              <w:t xml:space="preserve">This functional area consists of supporting the application of engineering disciplines to technically support development of new </w:t>
            </w:r>
            <w:proofErr w:type="spellStart"/>
            <w:r>
              <w:rPr>
                <w:color w:val="333333"/>
                <w:sz w:val="20"/>
                <w:szCs w:val="20"/>
                <w:lang w:val="en-GB"/>
              </w:rPr>
              <w:t>warfighting</w:t>
            </w:r>
            <w:proofErr w:type="spellEnd"/>
            <w:r>
              <w:rPr>
                <w:color w:val="333333"/>
                <w:sz w:val="20"/>
                <w:szCs w:val="20"/>
                <w:lang w:val="en-GB"/>
              </w:rPr>
              <w:t xml:space="preserve"> capabilities and systems, technically support development of significant alterations to existing systems, support integration of existing equipment or software into different applications or platforms to support the </w:t>
            </w:r>
            <w:proofErr w:type="spellStart"/>
            <w:r>
              <w:rPr>
                <w:color w:val="333333"/>
                <w:sz w:val="20"/>
                <w:szCs w:val="20"/>
                <w:lang w:val="en-GB"/>
              </w:rPr>
              <w:t>warfighter</w:t>
            </w:r>
            <w:proofErr w:type="spellEnd"/>
            <w:r>
              <w:rPr>
                <w:color w:val="333333"/>
                <w:sz w:val="20"/>
                <w:szCs w:val="20"/>
                <w:lang w:val="en-GB"/>
              </w:rPr>
              <w:t xml:space="preserve">, and support evaluation of foreign or non-developmental weapons systems, equipments, and technologies to satisfy existing </w:t>
            </w:r>
            <w:proofErr w:type="spellStart"/>
            <w:r>
              <w:rPr>
                <w:color w:val="333333"/>
                <w:sz w:val="20"/>
                <w:szCs w:val="20"/>
                <w:lang w:val="en-GB"/>
              </w:rPr>
              <w:t>warfighting</w:t>
            </w:r>
            <w:proofErr w:type="spellEnd"/>
            <w:r>
              <w:rPr>
                <w:color w:val="333333"/>
                <w:sz w:val="20"/>
                <w:szCs w:val="20"/>
                <w:lang w:val="en-GB"/>
              </w:rPr>
              <w:t xml:space="preserve"> requirements. Support is required for system and process engineering disciplines that systematically consider the requirements, synthesize and evaluate alternative concepts, identify a recommended selection, and generate a design and system specification.</w:t>
            </w:r>
          </w:p>
        </w:tc>
      </w:tr>
      <w:tr w:rsidR="005E797C" w:rsidRPr="00BF3EA8" w:rsidTr="009F2E63">
        <w:tc>
          <w:tcPr>
            <w:tcW w:w="3708" w:type="dxa"/>
            <w:shd w:val="clear" w:color="auto" w:fill="D9D9D9" w:themeFill="background1" w:themeFillShade="D9"/>
          </w:tcPr>
          <w:p w:rsidR="005E797C" w:rsidRPr="00BF3EA8" w:rsidRDefault="005E797C" w:rsidP="00A677A3">
            <w:pPr>
              <w:rPr>
                <w:rFonts w:ascii="Arial" w:hAnsi="Arial" w:cs="Arial"/>
                <w:sz w:val="20"/>
                <w:szCs w:val="20"/>
              </w:rPr>
            </w:pPr>
            <w:r>
              <w:rPr>
                <w:rFonts w:ascii="Arial" w:hAnsi="Arial" w:cs="Arial"/>
                <w:sz w:val="20"/>
                <w:szCs w:val="20"/>
              </w:rPr>
              <w:t>3.3 Modeling, Simulation, Stimulation, and Analysis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5E797C" w:rsidP="00A677A3">
            <w:pPr>
              <w:rPr>
                <w:sz w:val="20"/>
                <w:szCs w:val="20"/>
              </w:rPr>
            </w:pPr>
            <w:r>
              <w:rPr>
                <w:color w:val="333333"/>
                <w:sz w:val="20"/>
                <w:szCs w:val="20"/>
                <w:lang w:val="en-GB"/>
              </w:rPr>
              <w:t>This functional area consists of the application of a standardized, rigorous, structured methodology to create and validate a physical, mathematical, or otherwise logical representation of a system, entity, phenomenon, or process. The functional area involves the use of models, including emulators, prototypes, simulators, and stimulators, either statically or over time, to develop data as a basis for making managerial, technical, strategic, or tactical decisions</w:t>
            </w:r>
          </w:p>
        </w:tc>
      </w:tr>
      <w:tr w:rsidR="005E797C" w:rsidRPr="00BF3EA8" w:rsidTr="009F2E63">
        <w:tc>
          <w:tcPr>
            <w:tcW w:w="3708" w:type="dxa"/>
            <w:shd w:val="clear" w:color="auto" w:fill="D9D9D9" w:themeFill="background1" w:themeFillShade="D9"/>
          </w:tcPr>
          <w:p w:rsidR="005E797C" w:rsidRPr="00BF3EA8" w:rsidRDefault="005E797C" w:rsidP="00A677A3">
            <w:pPr>
              <w:rPr>
                <w:rFonts w:ascii="Arial" w:hAnsi="Arial" w:cs="Arial"/>
                <w:sz w:val="20"/>
                <w:szCs w:val="20"/>
              </w:rPr>
            </w:pPr>
            <w:r>
              <w:rPr>
                <w:rFonts w:ascii="Arial" w:hAnsi="Arial" w:cs="Arial"/>
                <w:sz w:val="20"/>
                <w:szCs w:val="20"/>
              </w:rPr>
              <w:t>3.4 – Prototyping, Pre-Production, Model-Making, and Fabrication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5E797C" w:rsidP="00A677A3">
            <w:pPr>
              <w:rPr>
                <w:sz w:val="20"/>
                <w:szCs w:val="20"/>
              </w:rPr>
            </w:pPr>
            <w:r>
              <w:rPr>
                <w:color w:val="333333"/>
                <w:sz w:val="20"/>
                <w:szCs w:val="20"/>
                <w:lang w:val="en-GB"/>
              </w:rPr>
              <w:t>This functional area consists of the building, fabrication, testing, evaluating and operating reduced and full scale models, mock-ups, prototypes, pre-production units and research and development (R&amp;D) test tools of electronic and electro-mechanical systems and system elements. Fabrication and machining of replacement parts or equipments for fielded systems or platforms is included. Includes the use of traditional materials as well as new composite materials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3.5 System Design Documentation and Technical Data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A10F08" w:rsidP="00A677A3">
            <w:pPr>
              <w:rPr>
                <w:sz w:val="20"/>
                <w:szCs w:val="20"/>
              </w:rPr>
            </w:pPr>
            <w:r>
              <w:rPr>
                <w:color w:val="333333"/>
                <w:sz w:val="20"/>
                <w:szCs w:val="20"/>
                <w:lang w:val="en-GB"/>
              </w:rPr>
              <w:t xml:space="preserve">This functional area involves the engineering effort required to prepare and assure that the detailed technical data documentation that is necessary to </w:t>
            </w:r>
            <w:r>
              <w:rPr>
                <w:color w:val="333333"/>
                <w:sz w:val="20"/>
                <w:szCs w:val="20"/>
                <w:lang w:val="en-GB"/>
              </w:rPr>
              <w:lastRenderedPageBreak/>
              <w:t>support system development reflects the latest design, configuration, integration, and installation concepts. Technical documentation may be in the form of paper, electronic (digital) or interactive computer systems.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lastRenderedPageBreak/>
              <w:t>3.6 Software Engineering, development, Programming, and Network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A10F08" w:rsidP="00A677A3">
            <w:pPr>
              <w:rPr>
                <w:sz w:val="20"/>
                <w:szCs w:val="20"/>
              </w:rPr>
            </w:pPr>
            <w:r>
              <w:rPr>
                <w:color w:val="333333"/>
                <w:sz w:val="20"/>
                <w:szCs w:val="20"/>
                <w:lang w:val="en-GB"/>
              </w:rPr>
              <w:t>This functional area consists of applying the engineering and scientific disciplines to perform technical analysis of, technically support development of or selection of hardware and computer software, or modification to existing hardware and software for systems, test facilities, or training facilities. This also consists of software engineering efforts and programming support required to technically support software implementation in systems, sub-systems, and components utilizing computers, electronics, and software. Planning, designing, coding, testing, integrating, supporting, and delivering algorithms, software (source code and executables), computer programs are the inherent activities of this functional area. Generally, the software development processes used for software development under this contract shall be, as a minimum, assessed at Software Engineering Institute (</w:t>
            </w:r>
            <w:proofErr w:type="spellStart"/>
            <w:r>
              <w:rPr>
                <w:color w:val="333333"/>
                <w:sz w:val="20"/>
                <w:szCs w:val="20"/>
                <w:lang w:val="en-GB"/>
              </w:rPr>
              <w:t>SEl</w:t>
            </w:r>
            <w:proofErr w:type="spellEnd"/>
            <w:r>
              <w:rPr>
                <w:color w:val="333333"/>
                <w:sz w:val="20"/>
                <w:szCs w:val="20"/>
                <w:lang w:val="en-GB"/>
              </w:rPr>
              <w:t>) Capability Maturity Model (CMM) Level 3 or equivalent, however the Government may specify other (either lower or higher) standards in individual task orders issued under the contract.</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3.7 Reliability, Maintainability, and Availability (RM&amp;A)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A10F08" w:rsidP="00A10F08">
            <w:pPr>
              <w:rPr>
                <w:rFonts w:ascii="Arial" w:hAnsi="Arial" w:cs="Arial"/>
                <w:sz w:val="20"/>
                <w:szCs w:val="20"/>
              </w:rPr>
            </w:pPr>
            <w:r>
              <w:rPr>
                <w:color w:val="333333"/>
                <w:sz w:val="20"/>
                <w:szCs w:val="20"/>
                <w:lang w:val="en-GB"/>
              </w:rPr>
              <w:t xml:space="preserve">This functional area consists of applying engineering, scientific, and analytical disciplines to ensure that systems and platforms RM&amp;A requirements are integrated with the system design, development and life cycle sustainment resulting in </w:t>
            </w:r>
            <w:proofErr w:type="spellStart"/>
            <w:r>
              <w:rPr>
                <w:color w:val="333333"/>
                <w:sz w:val="20"/>
                <w:szCs w:val="20"/>
                <w:lang w:val="en-GB"/>
              </w:rPr>
              <w:t>warfighting</w:t>
            </w:r>
            <w:proofErr w:type="spellEnd"/>
            <w:r>
              <w:rPr>
                <w:color w:val="333333"/>
                <w:sz w:val="20"/>
                <w:szCs w:val="20"/>
                <w:lang w:val="en-GB"/>
              </w:rPr>
              <w:t xml:space="preserve"> capabilities that function effectively when required and that detection and correction of design deficiencies, weak parts, and workmanship defects that affect functionality are implemented.</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3.8 Human Factors, Performance, and Usability Engineering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A10F08" w:rsidP="00A10F08">
            <w:pPr>
              <w:rPr>
                <w:rFonts w:ascii="Arial" w:hAnsi="Arial" w:cs="Arial"/>
                <w:sz w:val="20"/>
                <w:szCs w:val="20"/>
              </w:rPr>
            </w:pPr>
            <w:r>
              <w:rPr>
                <w:color w:val="333333"/>
                <w:sz w:val="20"/>
                <w:szCs w:val="20"/>
                <w:lang w:val="en-GB"/>
              </w:rPr>
              <w:t>This functional area consists of applying engineering, scientific, and analytical disciplines to ensure that design of interactive systems are safer, more secure and easier to use thereby reducing accidents due to human error, increasing system integrity and enabling more efficient process operations, This functional area also includes applying engineering, scientific, and analytical disciplines to ensure that the number, type, mix, knowledge, skills, and abilities (KSAs), aptitudes and physical characteristics of operators, maintainers and support personnel have been defined and documented early in the system design phase.</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3.9 System Safety Engineering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A10F08" w:rsidP="00A10F08">
            <w:pPr>
              <w:rPr>
                <w:rFonts w:ascii="Arial" w:hAnsi="Arial" w:cs="Arial"/>
                <w:sz w:val="20"/>
                <w:szCs w:val="20"/>
              </w:rPr>
            </w:pPr>
            <w:r>
              <w:rPr>
                <w:color w:val="333333"/>
                <w:sz w:val="20"/>
                <w:szCs w:val="20"/>
                <w:lang w:val="en-GB"/>
              </w:rPr>
              <w:t>This functional area consists of applying engineering and analytical disciplines to ensure that safety is considered in all aspects of design, development, operation, maintenance, and modification of systems and platforms.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3.10 Configuration Management (CM)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A677A3">
            <w:pPr>
              <w:rPr>
                <w:sz w:val="20"/>
                <w:szCs w:val="20"/>
              </w:rPr>
            </w:pPr>
            <w:r>
              <w:rPr>
                <w:color w:val="333333"/>
                <w:sz w:val="20"/>
                <w:szCs w:val="20"/>
                <w:lang w:val="en-GB"/>
              </w:rPr>
              <w:t xml:space="preserve">This functional area consists of applying engineering and analytical disciplines to identify, document, and verify the functional, performance, and physical </w:t>
            </w:r>
            <w:r>
              <w:rPr>
                <w:color w:val="333333"/>
                <w:sz w:val="20"/>
                <w:szCs w:val="20"/>
                <w:lang w:val="en-GB"/>
              </w:rPr>
              <w:lastRenderedPageBreak/>
              <w:t>characteristics of systems, to control changes and non-conformance, and to track actual configurations of systems and platforms.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lastRenderedPageBreak/>
              <w:t>3.11 Quality Assurance (QA)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A677A3">
            <w:pPr>
              <w:rPr>
                <w:sz w:val="20"/>
                <w:szCs w:val="20"/>
              </w:rPr>
            </w:pPr>
            <w:r>
              <w:rPr>
                <w:color w:val="333333"/>
                <w:sz w:val="20"/>
                <w:szCs w:val="20"/>
                <w:lang w:val="en-GB"/>
              </w:rPr>
              <w:t>This functional area consists of applying engineering and analytical disciplines to ensure that the processes and products used in the design, development, fabrication, manufacture of result in quality products.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3.12 Information System (IS) Development, Information Assurance (IA), and Information Technology (IT)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100EFD">
            <w:pPr>
              <w:rPr>
                <w:rFonts w:ascii="Arial" w:hAnsi="Arial" w:cs="Arial"/>
                <w:sz w:val="20"/>
                <w:szCs w:val="20"/>
              </w:rPr>
            </w:pPr>
            <w:r>
              <w:rPr>
                <w:color w:val="333333"/>
                <w:sz w:val="20"/>
                <w:szCs w:val="20"/>
                <w:lang w:val="en-GB"/>
              </w:rPr>
              <w:t>This functional area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 (WAN) that are outside the cognizance of the Navy Marine Corps Intranet (NMCI), Modify, implement and maintain web based information systems and links, Develop web-site structure, prepare documentation for population, implement and maintain web sites, Provide systems engineering and technical support for establishment, test, upgrade, and operational support of systems, networks, workstations and support equipment hardware and software that are outside the cognizance of NMCI. Conduct IA analyses, develop, recommend, and implement, monitor, update, and maintain, IA practices, procedures, equipments, algorithms, and hardware that are outside the cognizance of NMCI.</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3.13 Inactivation and Disposal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100EFD">
            <w:pPr>
              <w:rPr>
                <w:rFonts w:ascii="Arial" w:hAnsi="Arial" w:cs="Arial"/>
                <w:sz w:val="20"/>
                <w:szCs w:val="20"/>
              </w:rPr>
            </w:pPr>
            <w:r>
              <w:rPr>
                <w:color w:val="333333"/>
                <w:sz w:val="20"/>
                <w:szCs w:val="20"/>
                <w:lang w:val="en-GB"/>
              </w:rPr>
              <w:t xml:space="preserve">This functional area consists of technically supporting submarine, aircraft, weapons system and ship inactivation and disposal efforts to ensure that critical equipment removed is safeguarded and destroyed in accordance with the appropriate Navy instructions and directives, Provide direct liaison with the Shipyard or depot and the Navy to insure that critical technology is not inadvertently transferred to foreign nationals or governments. Ensure proper documentation exists for the sale of excess materials from inactivated platforms prior to sale by the </w:t>
            </w:r>
            <w:proofErr w:type="spellStart"/>
            <w:r>
              <w:rPr>
                <w:color w:val="333333"/>
                <w:sz w:val="20"/>
                <w:szCs w:val="20"/>
                <w:lang w:val="en-GB"/>
              </w:rPr>
              <w:t>Defense</w:t>
            </w:r>
            <w:proofErr w:type="spellEnd"/>
            <w:r>
              <w:rPr>
                <w:color w:val="333333"/>
                <w:sz w:val="20"/>
                <w:szCs w:val="20"/>
                <w:lang w:val="en-GB"/>
              </w:rPr>
              <w:t xml:space="preserve"> Reutilization and Marketing Service (DRMS). Technically support the demilitarization process for shipboard equipment using the Expanded Work Breakdown Structure (EWBS), Trade Security Controls (TSC), and Munitions List Items (MLI) all of which are used to determine the disposition of excess, not-ready-for-issue (non-RFI) equipment. Technically support the security classification requirements and guidelines for data and equipment necessary to assist in making decisions on sales issues.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 xml:space="preserve">3.14 Interoperability, Test and </w:t>
            </w:r>
            <w:r>
              <w:rPr>
                <w:rFonts w:ascii="Arial" w:hAnsi="Arial" w:cs="Arial"/>
                <w:sz w:val="20"/>
                <w:szCs w:val="20"/>
              </w:rPr>
              <w:lastRenderedPageBreak/>
              <w:t>Evaluation, Trials Support</w:t>
            </w:r>
          </w:p>
        </w:tc>
        <w:tc>
          <w:tcPr>
            <w:tcW w:w="1890" w:type="dxa"/>
          </w:tcPr>
          <w:p w:rsidR="005E797C" w:rsidRDefault="005E797C">
            <w:r w:rsidRPr="00651D0E">
              <w:rPr>
                <w:rFonts w:ascii="Arial" w:hAnsi="Arial" w:cs="Arial"/>
                <w:sz w:val="20"/>
                <w:szCs w:val="20"/>
              </w:rPr>
              <w:lastRenderedPageBreak/>
              <w:t>Camber</w:t>
            </w:r>
          </w:p>
        </w:tc>
        <w:tc>
          <w:tcPr>
            <w:tcW w:w="4482" w:type="dxa"/>
          </w:tcPr>
          <w:p w:rsidR="005E797C" w:rsidRPr="00BF3EA8" w:rsidRDefault="00100EFD" w:rsidP="00A677A3">
            <w:pPr>
              <w:rPr>
                <w:sz w:val="20"/>
                <w:szCs w:val="20"/>
              </w:rPr>
            </w:pPr>
            <w:r>
              <w:rPr>
                <w:color w:val="333333"/>
                <w:sz w:val="20"/>
                <w:szCs w:val="20"/>
                <w:lang w:val="en-GB"/>
              </w:rPr>
              <w:t xml:space="preserve">This functional area consists of the application of </w:t>
            </w:r>
            <w:r>
              <w:rPr>
                <w:color w:val="333333"/>
                <w:sz w:val="20"/>
                <w:szCs w:val="20"/>
                <w:lang w:val="en-GB"/>
              </w:rPr>
              <w:lastRenderedPageBreak/>
              <w:t xml:space="preserve">engineering, scientific, and analytical disciplines necessary to ensure that developed platforms, systems, and </w:t>
            </w:r>
            <w:proofErr w:type="spellStart"/>
            <w:r>
              <w:rPr>
                <w:color w:val="333333"/>
                <w:sz w:val="20"/>
                <w:szCs w:val="20"/>
                <w:lang w:val="en-GB"/>
              </w:rPr>
              <w:t>warfighting</w:t>
            </w:r>
            <w:proofErr w:type="spellEnd"/>
            <w:r>
              <w:rPr>
                <w:color w:val="333333"/>
                <w:sz w:val="20"/>
                <w:szCs w:val="20"/>
                <w:lang w:val="en-GB"/>
              </w:rPr>
              <w:t xml:space="preserve"> capabilities have been properly tested and that joint interoperability requirements have been fully met at all levels of their life cycle.</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lastRenderedPageBreak/>
              <w:t>3.15 Measurement Facilities, Range, and Instrumentation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A677A3">
            <w:pPr>
              <w:rPr>
                <w:sz w:val="20"/>
                <w:szCs w:val="20"/>
              </w:rPr>
            </w:pPr>
            <w:r>
              <w:rPr>
                <w:color w:val="333333"/>
                <w:sz w:val="20"/>
                <w:szCs w:val="20"/>
                <w:lang w:val="en-GB"/>
              </w:rPr>
              <w:t>This functional area consists of applying engineering, analytical, and technician disciplines in the operation and support of measurement facilities, ranges and instrumentation used for testing, evaluating, experimenting, and exercising platforms and systems.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3.16 Logistics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A677A3">
            <w:pPr>
              <w:rPr>
                <w:sz w:val="20"/>
                <w:szCs w:val="20"/>
              </w:rPr>
            </w:pPr>
            <w:r>
              <w:rPr>
                <w:color w:val="333333"/>
                <w:sz w:val="20"/>
                <w:szCs w:val="20"/>
                <w:lang w:val="en-GB"/>
              </w:rPr>
              <w:t xml:space="preserve">This functional area consists of applying the engineering and analytical disciplines required to implement acquisition logistics as a multi-functional technical management discipline associated with the design, development, test, production, fielding, sustainment, and improvement modifications of cost effective systems that achieve the </w:t>
            </w:r>
            <w:proofErr w:type="spellStart"/>
            <w:r>
              <w:rPr>
                <w:color w:val="333333"/>
                <w:sz w:val="20"/>
                <w:szCs w:val="20"/>
                <w:lang w:val="en-GB"/>
              </w:rPr>
              <w:t>warfighters</w:t>
            </w:r>
            <w:proofErr w:type="spellEnd"/>
            <w:r>
              <w:rPr>
                <w:color w:val="333333"/>
                <w:sz w:val="20"/>
                <w:szCs w:val="20"/>
                <w:lang w:val="en-GB"/>
              </w:rPr>
              <w:t>' peacetime and wartime readiness requirements. The principal objectives of acquisition logistics are to ensure that support considerations are an integral part of the system's design requirements, that the system can be cost effectively supported through its life-cycle, and that the infrastructure elements necessary to the initial fielding and operational support of the system are identified and developed and acquired.</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3.17 Supply and Provisioning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100EFD">
            <w:pPr>
              <w:rPr>
                <w:rFonts w:ascii="Arial" w:hAnsi="Arial" w:cs="Arial"/>
                <w:sz w:val="20"/>
                <w:szCs w:val="20"/>
              </w:rPr>
            </w:pPr>
            <w:r>
              <w:rPr>
                <w:color w:val="333333"/>
                <w:sz w:val="20"/>
                <w:szCs w:val="20"/>
                <w:lang w:val="en-GB"/>
              </w:rPr>
              <w:t xml:space="preserve">This functional area consists of applying the analytical and technical disciplines required to ensure that fielded </w:t>
            </w:r>
            <w:proofErr w:type="spellStart"/>
            <w:r>
              <w:rPr>
                <w:color w:val="333333"/>
                <w:sz w:val="20"/>
                <w:szCs w:val="20"/>
                <w:lang w:val="en-GB"/>
              </w:rPr>
              <w:t>warfighting</w:t>
            </w:r>
            <w:proofErr w:type="spellEnd"/>
            <w:r>
              <w:rPr>
                <w:color w:val="333333"/>
                <w:sz w:val="20"/>
                <w:szCs w:val="20"/>
                <w:lang w:val="en-GB"/>
              </w:rPr>
              <w:t xml:space="preserve"> capabilities are materially sustained. The principal objectives of this functional area is to ensure that material for fleet operation and maintenance of systems is available when required, that materials are properly stored and transported, and inventories are managed in a cost effective manner to sustain supported systems.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3.18 Training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100EFD">
            <w:pPr>
              <w:tabs>
                <w:tab w:val="left" w:pos="255"/>
              </w:tabs>
              <w:rPr>
                <w:rFonts w:ascii="Arial" w:hAnsi="Arial" w:cs="Arial"/>
                <w:sz w:val="20"/>
                <w:szCs w:val="20"/>
              </w:rPr>
            </w:pPr>
            <w:r>
              <w:rPr>
                <w:rFonts w:ascii="Arial" w:hAnsi="Arial" w:cs="Arial"/>
                <w:sz w:val="20"/>
                <w:szCs w:val="20"/>
              </w:rPr>
              <w:tab/>
            </w:r>
            <w:r>
              <w:rPr>
                <w:color w:val="333333"/>
                <w:sz w:val="20"/>
                <w:szCs w:val="20"/>
                <w:lang w:val="en-GB"/>
              </w:rPr>
              <w:t xml:space="preserve"> This functional area consists of applying the engineering and analytical disciplines required to ensure that the </w:t>
            </w:r>
            <w:proofErr w:type="spellStart"/>
            <w:r>
              <w:rPr>
                <w:color w:val="333333"/>
                <w:sz w:val="20"/>
                <w:szCs w:val="20"/>
                <w:lang w:val="en-GB"/>
              </w:rPr>
              <w:t>warfighter</w:t>
            </w:r>
            <w:proofErr w:type="spellEnd"/>
            <w:r>
              <w:rPr>
                <w:color w:val="333333"/>
                <w:sz w:val="20"/>
                <w:szCs w:val="20"/>
                <w:lang w:val="en-GB"/>
              </w:rPr>
              <w:t xml:space="preserve"> and technical support community is provided with adequate instruction including applied exercises resulting in the attainment and retention of knowledge, skills, and attitudes regarding the platforms, systems, and </w:t>
            </w:r>
            <w:proofErr w:type="spellStart"/>
            <w:r>
              <w:rPr>
                <w:color w:val="333333"/>
                <w:sz w:val="20"/>
                <w:szCs w:val="20"/>
                <w:lang w:val="en-GB"/>
              </w:rPr>
              <w:t>warfighting</w:t>
            </w:r>
            <w:proofErr w:type="spellEnd"/>
            <w:r>
              <w:rPr>
                <w:color w:val="333333"/>
                <w:sz w:val="20"/>
                <w:szCs w:val="20"/>
                <w:lang w:val="en-GB"/>
              </w:rPr>
              <w:t xml:space="preserve"> capabilities they operate and maintain. This functional area includes organizational development activities.</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3.19 Ins-Service Engineering, Fleet Introduction, Installation and Checkout Support</w:t>
            </w:r>
          </w:p>
        </w:tc>
        <w:tc>
          <w:tcPr>
            <w:tcW w:w="1890" w:type="dxa"/>
          </w:tcPr>
          <w:p w:rsidR="005E797C" w:rsidRDefault="005E797C">
            <w:r w:rsidRPr="00651D0E">
              <w:rPr>
                <w:rFonts w:ascii="Arial" w:hAnsi="Arial" w:cs="Arial"/>
                <w:sz w:val="20"/>
                <w:szCs w:val="20"/>
              </w:rPr>
              <w:t>Camber</w:t>
            </w:r>
          </w:p>
        </w:tc>
        <w:tc>
          <w:tcPr>
            <w:tcW w:w="4482" w:type="dxa"/>
          </w:tcPr>
          <w:p w:rsidR="005E797C" w:rsidRPr="00100EFD" w:rsidRDefault="00100EFD" w:rsidP="00100EFD">
            <w:pPr>
              <w:rPr>
                <w:rFonts w:ascii="Arial" w:hAnsi="Arial" w:cs="Arial"/>
                <w:sz w:val="20"/>
                <w:szCs w:val="20"/>
              </w:rPr>
            </w:pPr>
            <w:r>
              <w:rPr>
                <w:color w:val="333333"/>
                <w:sz w:val="20"/>
                <w:szCs w:val="20"/>
                <w:lang w:val="en-GB"/>
              </w:rPr>
              <w:t xml:space="preserve">This functional area consists of the application of engineering, analytical, and technical disciplines and skills to establish and maintain long-term engineering, operation, and maintenance support for in-service </w:t>
            </w:r>
            <w:proofErr w:type="spellStart"/>
            <w:r>
              <w:rPr>
                <w:color w:val="333333"/>
                <w:sz w:val="20"/>
                <w:szCs w:val="20"/>
                <w:lang w:val="en-GB"/>
              </w:rPr>
              <w:t>warfighting</w:t>
            </w:r>
            <w:proofErr w:type="spellEnd"/>
            <w:r>
              <w:rPr>
                <w:color w:val="333333"/>
                <w:sz w:val="20"/>
                <w:szCs w:val="20"/>
                <w:lang w:val="en-GB"/>
              </w:rPr>
              <w:t xml:space="preserve"> capabilities as well as the capability to modernize or introduce transformational technologies into those capabilities.</w:t>
            </w:r>
            <w:r w:rsidRPr="00100EFD">
              <w:rPr>
                <w:rFonts w:ascii="Arial" w:hAnsi="Arial" w:cs="Arial"/>
                <w:sz w:val="20"/>
                <w:szCs w:val="20"/>
              </w:rPr>
              <w:t xml:space="preserve"> </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t>3.20 Program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A677A3">
            <w:pPr>
              <w:rPr>
                <w:sz w:val="20"/>
                <w:szCs w:val="20"/>
              </w:rPr>
            </w:pPr>
            <w:r>
              <w:rPr>
                <w:color w:val="333333"/>
                <w:sz w:val="20"/>
                <w:szCs w:val="20"/>
                <w:lang w:val="en-GB"/>
              </w:rPr>
              <w:t xml:space="preserve">This functional area consists of applying the business, financial management, and technical disciplines required to support planning, organizing, staffing, controlling, and leading team efforts in </w:t>
            </w:r>
            <w:r>
              <w:rPr>
                <w:color w:val="333333"/>
                <w:sz w:val="20"/>
                <w:szCs w:val="20"/>
                <w:lang w:val="en-GB"/>
              </w:rPr>
              <w:lastRenderedPageBreak/>
              <w:t xml:space="preserve">managing acquisition programs such that the result places a capable and supportable system in the hands of the </w:t>
            </w:r>
            <w:proofErr w:type="spellStart"/>
            <w:r>
              <w:rPr>
                <w:color w:val="333333"/>
                <w:sz w:val="20"/>
                <w:szCs w:val="20"/>
                <w:lang w:val="en-GB"/>
              </w:rPr>
              <w:t>warfighter</w:t>
            </w:r>
            <w:proofErr w:type="spellEnd"/>
            <w:r>
              <w:rPr>
                <w:color w:val="333333"/>
                <w:sz w:val="20"/>
                <w:szCs w:val="20"/>
                <w:lang w:val="en-GB"/>
              </w:rPr>
              <w:t xml:space="preserve">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w:t>
            </w:r>
          </w:p>
        </w:tc>
      </w:tr>
      <w:tr w:rsidR="005E797C" w:rsidRPr="00BF3EA8" w:rsidTr="009F2E63">
        <w:tc>
          <w:tcPr>
            <w:tcW w:w="3708" w:type="dxa"/>
            <w:shd w:val="clear" w:color="auto" w:fill="D9D9D9" w:themeFill="background1" w:themeFillShade="D9"/>
          </w:tcPr>
          <w:p w:rsidR="005E797C" w:rsidRDefault="005E797C" w:rsidP="00A677A3">
            <w:pPr>
              <w:rPr>
                <w:rFonts w:ascii="Arial" w:hAnsi="Arial" w:cs="Arial"/>
                <w:sz w:val="20"/>
                <w:szCs w:val="20"/>
              </w:rPr>
            </w:pPr>
            <w:r>
              <w:rPr>
                <w:rFonts w:ascii="Arial" w:hAnsi="Arial" w:cs="Arial"/>
                <w:sz w:val="20"/>
                <w:szCs w:val="20"/>
              </w:rPr>
              <w:lastRenderedPageBreak/>
              <w:t>3.21 Functional and Administrative Support</w:t>
            </w:r>
          </w:p>
        </w:tc>
        <w:tc>
          <w:tcPr>
            <w:tcW w:w="1890" w:type="dxa"/>
          </w:tcPr>
          <w:p w:rsidR="005E797C" w:rsidRDefault="005E797C">
            <w:r w:rsidRPr="00651D0E">
              <w:rPr>
                <w:rFonts w:ascii="Arial" w:hAnsi="Arial" w:cs="Arial"/>
                <w:sz w:val="20"/>
                <w:szCs w:val="20"/>
              </w:rPr>
              <w:t>Camber</w:t>
            </w:r>
          </w:p>
        </w:tc>
        <w:tc>
          <w:tcPr>
            <w:tcW w:w="4482" w:type="dxa"/>
          </w:tcPr>
          <w:p w:rsidR="005E797C" w:rsidRPr="00BF3EA8" w:rsidRDefault="00100EFD" w:rsidP="00A677A3">
            <w:pPr>
              <w:rPr>
                <w:sz w:val="20"/>
                <w:szCs w:val="20"/>
              </w:rPr>
            </w:pPr>
            <w:r>
              <w:rPr>
                <w:color w:val="333333"/>
                <w:sz w:val="20"/>
                <w:szCs w:val="20"/>
                <w:lang w:val="en-GB"/>
              </w:rPr>
              <w:t xml:space="preserve">This functional area consists of supporting the development and application of print, photo, </w:t>
            </w:r>
            <w:proofErr w:type="gramStart"/>
            <w:r>
              <w:rPr>
                <w:color w:val="333333"/>
                <w:sz w:val="20"/>
                <w:szCs w:val="20"/>
                <w:lang w:val="en-GB"/>
              </w:rPr>
              <w:t>video,</w:t>
            </w:r>
            <w:proofErr w:type="gramEnd"/>
            <w:r>
              <w:rPr>
                <w:color w:val="333333"/>
                <w:sz w:val="20"/>
                <w:szCs w:val="20"/>
                <w:lang w:val="en-GB"/>
              </w:rPr>
              <w:t xml:space="preserve"> and multimedia public affairs instruments. Support may be required for promotional writing services, </w:t>
            </w:r>
            <w:proofErr w:type="spellStart"/>
            <w:r>
              <w:rPr>
                <w:color w:val="333333"/>
                <w:sz w:val="20"/>
                <w:szCs w:val="20"/>
                <w:lang w:val="en-GB"/>
              </w:rPr>
              <w:t>messagelbrand</w:t>
            </w:r>
            <w:proofErr w:type="spellEnd"/>
            <w:r>
              <w:rPr>
                <w:color w:val="333333"/>
                <w:sz w:val="20"/>
                <w:szCs w:val="20"/>
                <w:lang w:val="en-GB"/>
              </w:rPr>
              <w:t xml:space="preserve"> development, </w:t>
            </w:r>
            <w:proofErr w:type="gramStart"/>
            <w:r>
              <w:rPr>
                <w:color w:val="333333"/>
                <w:sz w:val="20"/>
                <w:szCs w:val="20"/>
                <w:lang w:val="en-GB"/>
              </w:rPr>
              <w:t>visual</w:t>
            </w:r>
            <w:proofErr w:type="gramEnd"/>
            <w:r>
              <w:rPr>
                <w:color w:val="333333"/>
                <w:sz w:val="20"/>
                <w:szCs w:val="20"/>
                <w:lang w:val="en-GB"/>
              </w:rPr>
              <w:t xml:space="preserve"> media to include still, video and multimedia documentation, message dissemination, photography, and other public affairs services to augment existing staff and provide critical assistance in development of communication messages for the Navy.</w:t>
            </w:r>
          </w:p>
        </w:tc>
      </w:tr>
      <w:tr w:rsidR="00A677A3" w:rsidRPr="00BF3EA8" w:rsidTr="009F2E63">
        <w:tc>
          <w:tcPr>
            <w:tcW w:w="3708" w:type="dxa"/>
            <w:shd w:val="clear" w:color="auto" w:fill="D9D9D9" w:themeFill="background1" w:themeFillShade="D9"/>
          </w:tcPr>
          <w:p w:rsidR="00A677A3" w:rsidRDefault="00A677A3" w:rsidP="00A677A3">
            <w:pPr>
              <w:rPr>
                <w:rFonts w:ascii="Arial" w:hAnsi="Arial" w:cs="Arial"/>
                <w:sz w:val="20"/>
                <w:szCs w:val="20"/>
              </w:rPr>
            </w:pPr>
            <w:r>
              <w:rPr>
                <w:rFonts w:ascii="Arial" w:hAnsi="Arial" w:cs="Arial"/>
                <w:sz w:val="20"/>
                <w:szCs w:val="20"/>
              </w:rPr>
              <w:t>3.22 Public Affairs and Multimedia Support</w:t>
            </w:r>
          </w:p>
        </w:tc>
        <w:tc>
          <w:tcPr>
            <w:tcW w:w="1890" w:type="dxa"/>
          </w:tcPr>
          <w:p w:rsidR="00A677A3" w:rsidRPr="00BF3EA8" w:rsidRDefault="005E797C" w:rsidP="00A677A3">
            <w:pPr>
              <w:rPr>
                <w:rFonts w:ascii="Arial" w:hAnsi="Arial" w:cs="Arial"/>
                <w:sz w:val="20"/>
                <w:szCs w:val="20"/>
              </w:rPr>
            </w:pPr>
            <w:r>
              <w:rPr>
                <w:rFonts w:ascii="Arial" w:hAnsi="Arial" w:cs="Arial"/>
                <w:sz w:val="20"/>
                <w:szCs w:val="20"/>
              </w:rPr>
              <w:t>Camber</w:t>
            </w:r>
          </w:p>
        </w:tc>
        <w:tc>
          <w:tcPr>
            <w:tcW w:w="4482" w:type="dxa"/>
          </w:tcPr>
          <w:p w:rsidR="00A677A3" w:rsidRPr="00BF3EA8" w:rsidRDefault="00100EFD" w:rsidP="00100EFD">
            <w:pPr>
              <w:rPr>
                <w:rFonts w:ascii="Arial" w:hAnsi="Arial" w:cs="Arial"/>
                <w:sz w:val="20"/>
                <w:szCs w:val="20"/>
              </w:rPr>
            </w:pPr>
            <w:r>
              <w:rPr>
                <w:color w:val="333333"/>
                <w:sz w:val="20"/>
                <w:szCs w:val="20"/>
                <w:lang w:val="en-GB"/>
              </w:rPr>
              <w:t xml:space="preserve">This functional area consists of supporting the development and application of print, photo, </w:t>
            </w:r>
            <w:proofErr w:type="gramStart"/>
            <w:r>
              <w:rPr>
                <w:color w:val="333333"/>
                <w:sz w:val="20"/>
                <w:szCs w:val="20"/>
                <w:lang w:val="en-GB"/>
              </w:rPr>
              <w:t>video,</w:t>
            </w:r>
            <w:proofErr w:type="gramEnd"/>
            <w:r>
              <w:rPr>
                <w:color w:val="333333"/>
                <w:sz w:val="20"/>
                <w:szCs w:val="20"/>
                <w:lang w:val="en-GB"/>
              </w:rPr>
              <w:t xml:space="preserve"> and multimedia public affairs instruments. Support may be required for promotional writing services, </w:t>
            </w:r>
            <w:proofErr w:type="spellStart"/>
            <w:r>
              <w:rPr>
                <w:color w:val="333333"/>
                <w:sz w:val="20"/>
                <w:szCs w:val="20"/>
                <w:lang w:val="en-GB"/>
              </w:rPr>
              <w:t>messagelbrand</w:t>
            </w:r>
            <w:proofErr w:type="spellEnd"/>
            <w:r>
              <w:rPr>
                <w:color w:val="333333"/>
                <w:sz w:val="20"/>
                <w:szCs w:val="20"/>
                <w:lang w:val="en-GB"/>
              </w:rPr>
              <w:t xml:space="preserve"> development, visual media to include still, video and multimedia documentation, message dissemination, photography, and other public affairs services to augment existing staff and provide critical assistance in development of communication messages for the Navy</w:t>
            </w:r>
          </w:p>
        </w:tc>
      </w:tr>
    </w:tbl>
    <w:p w:rsidR="004C1B7F" w:rsidRDefault="004C1B7F" w:rsidP="004C1B7F"/>
    <w:p w:rsidR="00822868" w:rsidRDefault="00822868" w:rsidP="004C1B7F"/>
    <w:p w:rsidR="00100EFD" w:rsidRPr="00100EFD" w:rsidRDefault="00100EFD" w:rsidP="00100EFD">
      <w:pPr>
        <w:outlineLvl w:val="3"/>
        <w:rPr>
          <w:lang w:val="en-GB"/>
        </w:rPr>
      </w:pPr>
      <w:r w:rsidRPr="00100EFD">
        <w:rPr>
          <w:lang w:val="en-GB"/>
        </w:rPr>
        <w:t>Heather Mori</w:t>
      </w:r>
    </w:p>
    <w:p w:rsidR="00100EFD" w:rsidRDefault="00100EFD" w:rsidP="00100EFD">
      <w:pPr>
        <w:rPr>
          <w:lang w:val="en-GB"/>
        </w:rPr>
      </w:pPr>
      <w:r w:rsidRPr="00100EFD">
        <w:rPr>
          <w:lang w:val="en-GB"/>
        </w:rPr>
        <w:t>Director, IDIQ Management Operations</w:t>
      </w:r>
      <w:r w:rsidRPr="00100EFD">
        <w:rPr>
          <w:lang w:val="en-GB"/>
        </w:rPr>
        <w:br/>
      </w:r>
      <w:hyperlink r:id="rId5" w:history="1">
        <w:r w:rsidRPr="00100EFD">
          <w:rPr>
            <w:color w:val="0000FF"/>
            <w:u w:val="single"/>
            <w:lang w:val="en-GB"/>
          </w:rPr>
          <w:t>hmori@camber.com</w:t>
        </w:r>
      </w:hyperlink>
      <w:r w:rsidRPr="00100EFD">
        <w:rPr>
          <w:color w:val="0000FF"/>
          <w:lang w:val="en-GB"/>
        </w:rPr>
        <w:t xml:space="preserve"> </w:t>
      </w:r>
      <w:r w:rsidRPr="00100EFD">
        <w:rPr>
          <w:vanish/>
          <w:lang w:val="en-GB"/>
        </w:rPr>
        <w:t xml:space="preserve">This email address is being protected from spambots. You need JavaScript enabled to view it. </w:t>
      </w:r>
      <w:r w:rsidRPr="00100EFD">
        <w:rPr>
          <w:vanish/>
          <w:lang w:val="en-GB"/>
        </w:rPr>
        <w:pict/>
      </w:r>
      <w:r w:rsidRPr="00100EFD">
        <w:rPr>
          <w:lang w:val="en-GB"/>
        </w:rPr>
        <w:br/>
        <w:t>703-825-2583</w:t>
      </w:r>
    </w:p>
    <w:p w:rsidR="00100EFD" w:rsidRPr="00100EFD" w:rsidRDefault="00100EFD" w:rsidP="00100EFD">
      <w:pPr>
        <w:rPr>
          <w:lang w:val="en-GB"/>
        </w:rPr>
      </w:pPr>
    </w:p>
    <w:p w:rsidR="00100EFD" w:rsidRPr="00100EFD" w:rsidRDefault="00100EFD" w:rsidP="00100EFD">
      <w:pPr>
        <w:pStyle w:val="Heading4"/>
        <w:spacing w:before="0" w:beforeAutospacing="0" w:after="0" w:afterAutospacing="0"/>
        <w:rPr>
          <w:rFonts w:ascii="Times New Roman" w:hAnsi="Times New Roman" w:cs="Times New Roman"/>
          <w:color w:val="auto"/>
          <w:sz w:val="24"/>
          <w:szCs w:val="24"/>
          <w:lang w:val="en-GB"/>
        </w:rPr>
      </w:pPr>
      <w:r w:rsidRPr="00100EFD">
        <w:rPr>
          <w:rFonts w:ascii="Times New Roman" w:hAnsi="Times New Roman" w:cs="Times New Roman"/>
          <w:color w:val="auto"/>
          <w:sz w:val="24"/>
          <w:szCs w:val="24"/>
          <w:lang w:val="en-GB"/>
        </w:rPr>
        <w:t>Meaghan Clark</w:t>
      </w:r>
    </w:p>
    <w:p w:rsidR="00100EFD" w:rsidRPr="00100EFD" w:rsidRDefault="00100EFD" w:rsidP="00100EFD">
      <w:pPr>
        <w:pStyle w:val="NormalWeb"/>
        <w:spacing w:before="0" w:after="0"/>
        <w:rPr>
          <w:rFonts w:ascii="Times New Roman" w:hAnsi="Times New Roman" w:cs="Times New Roman"/>
          <w:lang w:val="en-GB"/>
        </w:rPr>
      </w:pPr>
      <w:r w:rsidRPr="00100EFD">
        <w:rPr>
          <w:rFonts w:ascii="Times New Roman" w:hAnsi="Times New Roman" w:cs="Times New Roman"/>
          <w:lang w:val="en-GB"/>
        </w:rPr>
        <w:t>Contracts Manager</w:t>
      </w:r>
      <w:r w:rsidRPr="00100EFD">
        <w:rPr>
          <w:rFonts w:ascii="Times New Roman" w:hAnsi="Times New Roman" w:cs="Times New Roman"/>
          <w:lang w:val="en-GB"/>
        </w:rPr>
        <w:br/>
      </w:r>
      <w:hyperlink r:id="rId6" w:history="1">
        <w:r w:rsidRPr="00100EFD">
          <w:rPr>
            <w:rStyle w:val="Hyperlink"/>
            <w:rFonts w:ascii="Times New Roman" w:hAnsi="Times New Roman" w:cs="Times New Roman"/>
            <w:color w:val="0000FF"/>
            <w:lang w:val="en-GB"/>
          </w:rPr>
          <w:t>mclark@camber.com</w:t>
        </w:r>
      </w:hyperlink>
      <w:r w:rsidRPr="00100EFD">
        <w:rPr>
          <w:rFonts w:ascii="Times New Roman" w:hAnsi="Times New Roman" w:cs="Times New Roman"/>
          <w:color w:val="0000FF"/>
          <w:lang w:val="en-GB"/>
        </w:rPr>
        <w:t xml:space="preserve"> </w:t>
      </w:r>
      <w:r w:rsidRPr="00100EFD">
        <w:rPr>
          <w:rFonts w:ascii="Times New Roman" w:hAnsi="Times New Roman" w:cs="Times New Roman"/>
          <w:vanish/>
          <w:lang w:val="en-GB"/>
        </w:rPr>
        <w:t xml:space="preserve">This email address is being protected from spambots. You need JavaScript enabled to view it. </w:t>
      </w:r>
      <w:r w:rsidRPr="00100EFD">
        <w:rPr>
          <w:rFonts w:ascii="Times New Roman" w:hAnsi="Times New Roman" w:cs="Times New Roman"/>
          <w:vanish/>
          <w:lang w:val="en-GB"/>
        </w:rPr>
        <w:pict/>
      </w:r>
      <w:r w:rsidRPr="00100EFD">
        <w:rPr>
          <w:rFonts w:ascii="Times New Roman" w:hAnsi="Times New Roman" w:cs="Times New Roman"/>
          <w:lang w:val="en-GB"/>
        </w:rPr>
        <w:br/>
        <w:t>256-713-4072</w:t>
      </w:r>
    </w:p>
    <w:p w:rsidR="00100EFD" w:rsidRDefault="00100EFD" w:rsidP="004C1B7F"/>
    <w:p w:rsidR="00100EFD" w:rsidRDefault="00100EFD" w:rsidP="004C1B7F"/>
    <w:p w:rsidR="00100EFD" w:rsidRDefault="00F77509" w:rsidP="004C1B7F">
      <w:r>
        <w:t>N00178-05-D-4231-FG07 / (301) 744-6663</w:t>
      </w:r>
    </w:p>
    <w:p w:rsidR="00F77509" w:rsidRDefault="00D0609B" w:rsidP="004C1B7F">
      <w:r>
        <w:t>N00178-05-D-4231-FG13 / (301) 744-6556</w:t>
      </w:r>
    </w:p>
    <w:p w:rsidR="00D0609B" w:rsidRDefault="00D0609B" w:rsidP="004C1B7F">
      <w:r>
        <w:t>N00178-05-D-4231-M802 / (301) 757-9788</w:t>
      </w:r>
    </w:p>
    <w:sectPr w:rsidR="00D0609B" w:rsidSect="005E797C">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1AC9"/>
    <w:multiLevelType w:val="hybridMultilevel"/>
    <w:tmpl w:val="8CB4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6E20303"/>
    <w:multiLevelType w:val="hybridMultilevel"/>
    <w:tmpl w:val="31FA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C44FB"/>
    <w:multiLevelType w:val="hybridMultilevel"/>
    <w:tmpl w:val="31FA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C3101"/>
    <w:rsid w:val="00050A0B"/>
    <w:rsid w:val="00076818"/>
    <w:rsid w:val="000F324A"/>
    <w:rsid w:val="00100EFD"/>
    <w:rsid w:val="00122DEA"/>
    <w:rsid w:val="00161F04"/>
    <w:rsid w:val="001F70AC"/>
    <w:rsid w:val="00214E08"/>
    <w:rsid w:val="002F2F9F"/>
    <w:rsid w:val="0030086C"/>
    <w:rsid w:val="00337AA7"/>
    <w:rsid w:val="00372521"/>
    <w:rsid w:val="00383095"/>
    <w:rsid w:val="00391314"/>
    <w:rsid w:val="003A13A4"/>
    <w:rsid w:val="003F0766"/>
    <w:rsid w:val="004029F3"/>
    <w:rsid w:val="004051E1"/>
    <w:rsid w:val="00424237"/>
    <w:rsid w:val="00464533"/>
    <w:rsid w:val="00491D9B"/>
    <w:rsid w:val="004B6C7B"/>
    <w:rsid w:val="004C1B7F"/>
    <w:rsid w:val="004D021A"/>
    <w:rsid w:val="004E06AF"/>
    <w:rsid w:val="00516B32"/>
    <w:rsid w:val="00534D59"/>
    <w:rsid w:val="005640C3"/>
    <w:rsid w:val="00591D1C"/>
    <w:rsid w:val="005E797C"/>
    <w:rsid w:val="00632741"/>
    <w:rsid w:val="00661837"/>
    <w:rsid w:val="006D01D9"/>
    <w:rsid w:val="006F2D32"/>
    <w:rsid w:val="00706ECA"/>
    <w:rsid w:val="007255D3"/>
    <w:rsid w:val="0074027D"/>
    <w:rsid w:val="00787AF8"/>
    <w:rsid w:val="007B00FB"/>
    <w:rsid w:val="00822868"/>
    <w:rsid w:val="00831787"/>
    <w:rsid w:val="0084788D"/>
    <w:rsid w:val="00850A62"/>
    <w:rsid w:val="008864F3"/>
    <w:rsid w:val="008A7045"/>
    <w:rsid w:val="008D5602"/>
    <w:rsid w:val="008E52D6"/>
    <w:rsid w:val="0090095A"/>
    <w:rsid w:val="00992C88"/>
    <w:rsid w:val="009C62B1"/>
    <w:rsid w:val="009F2E63"/>
    <w:rsid w:val="009F314E"/>
    <w:rsid w:val="00A10F08"/>
    <w:rsid w:val="00A3553E"/>
    <w:rsid w:val="00A60ADF"/>
    <w:rsid w:val="00A677A3"/>
    <w:rsid w:val="00A80051"/>
    <w:rsid w:val="00AC0675"/>
    <w:rsid w:val="00AE7FAA"/>
    <w:rsid w:val="00B202ED"/>
    <w:rsid w:val="00BB45D8"/>
    <w:rsid w:val="00BC6CB7"/>
    <w:rsid w:val="00BD20EB"/>
    <w:rsid w:val="00BD7CC7"/>
    <w:rsid w:val="00BF3EA8"/>
    <w:rsid w:val="00C160D5"/>
    <w:rsid w:val="00C424F0"/>
    <w:rsid w:val="00C83E71"/>
    <w:rsid w:val="00C91223"/>
    <w:rsid w:val="00CB61D9"/>
    <w:rsid w:val="00D04BE9"/>
    <w:rsid w:val="00D0609B"/>
    <w:rsid w:val="00D22C4E"/>
    <w:rsid w:val="00D371C3"/>
    <w:rsid w:val="00D74260"/>
    <w:rsid w:val="00DA3294"/>
    <w:rsid w:val="00DC3101"/>
    <w:rsid w:val="00DF5A96"/>
    <w:rsid w:val="00E056B4"/>
    <w:rsid w:val="00E141D8"/>
    <w:rsid w:val="00E265FD"/>
    <w:rsid w:val="00E4288E"/>
    <w:rsid w:val="00E57D2A"/>
    <w:rsid w:val="00E6224C"/>
    <w:rsid w:val="00EC3D08"/>
    <w:rsid w:val="00ED634C"/>
    <w:rsid w:val="00EE5D06"/>
    <w:rsid w:val="00F216B3"/>
    <w:rsid w:val="00F6400F"/>
    <w:rsid w:val="00F77509"/>
    <w:rsid w:val="00F779F8"/>
    <w:rsid w:val="00F80682"/>
    <w:rsid w:val="00FF4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6B3"/>
    <w:rPr>
      <w:sz w:val="24"/>
      <w:szCs w:val="24"/>
    </w:rPr>
  </w:style>
  <w:style w:type="paragraph" w:styleId="Heading4">
    <w:name w:val="heading 4"/>
    <w:basedOn w:val="Normal"/>
    <w:link w:val="Heading4Char"/>
    <w:uiPriority w:val="9"/>
    <w:qFormat/>
    <w:rsid w:val="00100EFD"/>
    <w:pPr>
      <w:spacing w:before="100" w:beforeAutospacing="1" w:after="100" w:afterAutospacing="1"/>
      <w:outlineLvl w:val="3"/>
    </w:pPr>
    <w:rPr>
      <w:rFonts w:ascii="Arial" w:hAnsi="Arial" w:cs="Arial"/>
      <w:color w:val="8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B7F"/>
    <w:pPr>
      <w:ind w:left="720"/>
      <w:contextualSpacing/>
    </w:pPr>
  </w:style>
  <w:style w:type="paragraph" w:styleId="BalloonText">
    <w:name w:val="Balloon Text"/>
    <w:basedOn w:val="Normal"/>
    <w:link w:val="BalloonTextChar"/>
    <w:rsid w:val="00BD20EB"/>
    <w:rPr>
      <w:rFonts w:ascii="Tahoma" w:hAnsi="Tahoma" w:cs="Tahoma"/>
      <w:sz w:val="16"/>
      <w:szCs w:val="16"/>
    </w:rPr>
  </w:style>
  <w:style w:type="character" w:customStyle="1" w:styleId="BalloonTextChar">
    <w:name w:val="Balloon Text Char"/>
    <w:basedOn w:val="DefaultParagraphFont"/>
    <w:link w:val="BalloonText"/>
    <w:rsid w:val="00BD20EB"/>
    <w:rPr>
      <w:rFonts w:ascii="Tahoma" w:hAnsi="Tahoma" w:cs="Tahoma"/>
      <w:sz w:val="16"/>
      <w:szCs w:val="16"/>
    </w:rPr>
  </w:style>
  <w:style w:type="character" w:customStyle="1" w:styleId="Heading4Char">
    <w:name w:val="Heading 4 Char"/>
    <w:basedOn w:val="DefaultParagraphFont"/>
    <w:link w:val="Heading4"/>
    <w:uiPriority w:val="9"/>
    <w:rsid w:val="00100EFD"/>
    <w:rPr>
      <w:rFonts w:ascii="Arial" w:hAnsi="Arial" w:cs="Arial"/>
      <w:color w:val="808080"/>
    </w:rPr>
  </w:style>
  <w:style w:type="character" w:styleId="Hyperlink">
    <w:name w:val="Hyperlink"/>
    <w:basedOn w:val="DefaultParagraphFont"/>
    <w:uiPriority w:val="99"/>
    <w:unhideWhenUsed/>
    <w:rsid w:val="00100EFD"/>
    <w:rPr>
      <w:rFonts w:ascii="Arial" w:hAnsi="Arial" w:cs="Arial" w:hint="default"/>
      <w:strike w:val="0"/>
      <w:dstrike w:val="0"/>
      <w:color w:val="8A2034"/>
      <w:u w:val="single"/>
      <w:effect w:val="none"/>
    </w:rPr>
  </w:style>
  <w:style w:type="paragraph" w:styleId="NormalWeb">
    <w:name w:val="Normal (Web)"/>
    <w:basedOn w:val="Normal"/>
    <w:uiPriority w:val="99"/>
    <w:unhideWhenUsed/>
    <w:rsid w:val="00100EFD"/>
    <w:pPr>
      <w:spacing w:before="150" w:after="225"/>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700424">
      <w:bodyDiv w:val="1"/>
      <w:marLeft w:val="0"/>
      <w:marRight w:val="0"/>
      <w:marTop w:val="0"/>
      <w:marBottom w:val="0"/>
      <w:divBdr>
        <w:top w:val="none" w:sz="0" w:space="0" w:color="auto"/>
        <w:left w:val="none" w:sz="0" w:space="0" w:color="auto"/>
        <w:bottom w:val="none" w:sz="0" w:space="0" w:color="auto"/>
        <w:right w:val="none" w:sz="0" w:space="0" w:color="auto"/>
      </w:divBdr>
    </w:div>
    <w:div w:id="784733042">
      <w:bodyDiv w:val="1"/>
      <w:marLeft w:val="0"/>
      <w:marRight w:val="0"/>
      <w:marTop w:val="0"/>
      <w:marBottom w:val="0"/>
      <w:divBdr>
        <w:top w:val="none" w:sz="0" w:space="0" w:color="auto"/>
        <w:left w:val="none" w:sz="0" w:space="0" w:color="auto"/>
        <w:bottom w:val="none" w:sz="0" w:space="0" w:color="auto"/>
        <w:right w:val="none" w:sz="0" w:space="0" w:color="auto"/>
      </w:divBdr>
    </w:div>
    <w:div w:id="883366498">
      <w:bodyDiv w:val="1"/>
      <w:marLeft w:val="0"/>
      <w:marRight w:val="0"/>
      <w:marTop w:val="0"/>
      <w:marBottom w:val="0"/>
      <w:divBdr>
        <w:top w:val="none" w:sz="0" w:space="0" w:color="auto"/>
        <w:left w:val="none" w:sz="0" w:space="0" w:color="auto"/>
        <w:bottom w:val="none" w:sz="0" w:space="0" w:color="auto"/>
        <w:right w:val="none" w:sz="0" w:space="0" w:color="auto"/>
      </w:divBdr>
    </w:div>
    <w:div w:id="980691644">
      <w:bodyDiv w:val="1"/>
      <w:marLeft w:val="0"/>
      <w:marRight w:val="0"/>
      <w:marTop w:val="0"/>
      <w:marBottom w:val="0"/>
      <w:divBdr>
        <w:top w:val="none" w:sz="0" w:space="0" w:color="auto"/>
        <w:left w:val="none" w:sz="0" w:space="0" w:color="auto"/>
        <w:bottom w:val="none" w:sz="0" w:space="0" w:color="auto"/>
        <w:right w:val="none" w:sz="0" w:space="0" w:color="auto"/>
      </w:divBdr>
      <w:divsChild>
        <w:div w:id="974407359">
          <w:marLeft w:val="0"/>
          <w:marRight w:val="0"/>
          <w:marTop w:val="0"/>
          <w:marBottom w:val="0"/>
          <w:divBdr>
            <w:top w:val="none" w:sz="0" w:space="0" w:color="auto"/>
            <w:left w:val="none" w:sz="0" w:space="0" w:color="auto"/>
            <w:bottom w:val="none" w:sz="0" w:space="0" w:color="auto"/>
            <w:right w:val="none" w:sz="0" w:space="0" w:color="auto"/>
          </w:divBdr>
          <w:divsChild>
            <w:div w:id="1783455262">
              <w:marLeft w:val="0"/>
              <w:marRight w:val="0"/>
              <w:marTop w:val="100"/>
              <w:marBottom w:val="100"/>
              <w:divBdr>
                <w:top w:val="none" w:sz="0" w:space="0" w:color="auto"/>
                <w:left w:val="none" w:sz="0" w:space="0" w:color="auto"/>
                <w:bottom w:val="none" w:sz="0" w:space="0" w:color="auto"/>
                <w:right w:val="none" w:sz="0" w:space="0" w:color="auto"/>
              </w:divBdr>
              <w:divsChild>
                <w:div w:id="37432636">
                  <w:marLeft w:val="150"/>
                  <w:marRight w:val="150"/>
                  <w:marTop w:val="0"/>
                  <w:marBottom w:val="0"/>
                  <w:divBdr>
                    <w:top w:val="none" w:sz="0" w:space="0" w:color="auto"/>
                    <w:left w:val="none" w:sz="0" w:space="0" w:color="auto"/>
                    <w:bottom w:val="none" w:sz="0" w:space="0" w:color="auto"/>
                    <w:right w:val="none" w:sz="0" w:space="0" w:color="auto"/>
                  </w:divBdr>
                  <w:divsChild>
                    <w:div w:id="1952197765">
                      <w:marLeft w:val="0"/>
                      <w:marRight w:val="0"/>
                      <w:marTop w:val="0"/>
                      <w:marBottom w:val="0"/>
                      <w:divBdr>
                        <w:top w:val="none" w:sz="0" w:space="0" w:color="auto"/>
                        <w:left w:val="none" w:sz="0" w:space="0" w:color="auto"/>
                        <w:bottom w:val="none" w:sz="0" w:space="0" w:color="auto"/>
                        <w:right w:val="none" w:sz="0" w:space="0" w:color="auto"/>
                      </w:divBdr>
                      <w:divsChild>
                        <w:div w:id="756564009">
                          <w:marLeft w:val="0"/>
                          <w:marRight w:val="0"/>
                          <w:marTop w:val="0"/>
                          <w:marBottom w:val="0"/>
                          <w:divBdr>
                            <w:top w:val="none" w:sz="0" w:space="0" w:color="auto"/>
                            <w:left w:val="none" w:sz="0" w:space="0" w:color="auto"/>
                            <w:bottom w:val="none" w:sz="0" w:space="0" w:color="auto"/>
                            <w:right w:val="none" w:sz="0" w:space="0" w:color="auto"/>
                          </w:divBdr>
                          <w:divsChild>
                            <w:div w:id="77093615">
                              <w:marLeft w:val="0"/>
                              <w:marRight w:val="0"/>
                              <w:marTop w:val="0"/>
                              <w:marBottom w:val="0"/>
                              <w:divBdr>
                                <w:top w:val="none" w:sz="0" w:space="0" w:color="auto"/>
                                <w:left w:val="none" w:sz="0" w:space="0" w:color="auto"/>
                                <w:bottom w:val="none" w:sz="0" w:space="0" w:color="auto"/>
                                <w:right w:val="none" w:sz="0" w:space="0" w:color="auto"/>
                              </w:divBdr>
                              <w:divsChild>
                                <w:div w:id="1567959480">
                                  <w:marLeft w:val="3600"/>
                                  <w:marRight w:val="0"/>
                                  <w:marTop w:val="0"/>
                                  <w:marBottom w:val="0"/>
                                  <w:divBdr>
                                    <w:top w:val="none" w:sz="0" w:space="0" w:color="auto"/>
                                    <w:left w:val="none" w:sz="0" w:space="0" w:color="auto"/>
                                    <w:bottom w:val="none" w:sz="0" w:space="0" w:color="auto"/>
                                    <w:right w:val="none" w:sz="0" w:space="0" w:color="auto"/>
                                  </w:divBdr>
                                  <w:divsChild>
                                    <w:div w:id="996108571">
                                      <w:marLeft w:val="0"/>
                                      <w:marRight w:val="0"/>
                                      <w:marTop w:val="0"/>
                                      <w:marBottom w:val="0"/>
                                      <w:divBdr>
                                        <w:top w:val="none" w:sz="0" w:space="0" w:color="auto"/>
                                        <w:left w:val="none" w:sz="0" w:space="0" w:color="auto"/>
                                        <w:bottom w:val="none" w:sz="0" w:space="0" w:color="auto"/>
                                        <w:right w:val="none" w:sz="0" w:space="0" w:color="auto"/>
                                      </w:divBdr>
                                      <w:divsChild>
                                        <w:div w:id="1370648712">
                                          <w:marLeft w:val="0"/>
                                          <w:marRight w:val="0"/>
                                          <w:marTop w:val="0"/>
                                          <w:marBottom w:val="0"/>
                                          <w:divBdr>
                                            <w:top w:val="none" w:sz="0" w:space="0" w:color="auto"/>
                                            <w:left w:val="none" w:sz="0" w:space="0" w:color="auto"/>
                                            <w:bottom w:val="none" w:sz="0" w:space="0" w:color="auto"/>
                                            <w:right w:val="none" w:sz="0" w:space="0" w:color="auto"/>
                                          </w:divBdr>
                                          <w:divsChild>
                                            <w:div w:id="401099229">
                                              <w:marLeft w:val="0"/>
                                              <w:marRight w:val="0"/>
                                              <w:marTop w:val="0"/>
                                              <w:marBottom w:val="0"/>
                                              <w:divBdr>
                                                <w:top w:val="none" w:sz="0" w:space="0" w:color="auto"/>
                                                <w:left w:val="none" w:sz="0" w:space="0" w:color="auto"/>
                                                <w:bottom w:val="none" w:sz="0" w:space="0" w:color="auto"/>
                                                <w:right w:val="none" w:sz="0" w:space="0" w:color="auto"/>
                                              </w:divBdr>
                                              <w:divsChild>
                                                <w:div w:id="90247343">
                                                  <w:marLeft w:val="0"/>
                                                  <w:marRight w:val="0"/>
                                                  <w:marTop w:val="0"/>
                                                  <w:marBottom w:val="0"/>
                                                  <w:divBdr>
                                                    <w:top w:val="none" w:sz="0" w:space="0" w:color="auto"/>
                                                    <w:left w:val="none" w:sz="0" w:space="0" w:color="auto"/>
                                                    <w:bottom w:val="none" w:sz="0" w:space="0" w:color="auto"/>
                                                    <w:right w:val="none" w:sz="0" w:space="0" w:color="auto"/>
                                                  </w:divBdr>
                                                  <w:divsChild>
                                                    <w:div w:id="3676999">
                                                      <w:marLeft w:val="300"/>
                                                      <w:marRight w:val="300"/>
                                                      <w:marTop w:val="0"/>
                                                      <w:marBottom w:val="0"/>
                                                      <w:divBdr>
                                                        <w:top w:val="none" w:sz="0" w:space="0" w:color="auto"/>
                                                        <w:left w:val="none" w:sz="0" w:space="0" w:color="auto"/>
                                                        <w:bottom w:val="none" w:sz="0" w:space="0" w:color="auto"/>
                                                        <w:right w:val="none" w:sz="0" w:space="0" w:color="auto"/>
                                                      </w:divBdr>
                                                      <w:divsChild>
                                                        <w:div w:id="833105509">
                                                          <w:marLeft w:val="0"/>
                                                          <w:marRight w:val="0"/>
                                                          <w:marTop w:val="0"/>
                                                          <w:marBottom w:val="0"/>
                                                          <w:divBdr>
                                                            <w:top w:val="none" w:sz="0" w:space="0" w:color="auto"/>
                                                            <w:left w:val="none" w:sz="0" w:space="0" w:color="auto"/>
                                                            <w:bottom w:val="none" w:sz="0" w:space="0" w:color="auto"/>
                                                            <w:right w:val="none" w:sz="0" w:space="0" w:color="auto"/>
                                                          </w:divBdr>
                                                          <w:divsChild>
                                                            <w:div w:id="1893731914">
                                                              <w:marLeft w:val="0"/>
                                                              <w:marRight w:val="0"/>
                                                              <w:marTop w:val="0"/>
                                                              <w:marBottom w:val="0"/>
                                                              <w:divBdr>
                                                                <w:top w:val="none" w:sz="0" w:space="0" w:color="auto"/>
                                                                <w:left w:val="none" w:sz="0" w:space="0" w:color="auto"/>
                                                                <w:bottom w:val="none" w:sz="0" w:space="0" w:color="auto"/>
                                                                <w:right w:val="none" w:sz="0" w:space="0" w:color="auto"/>
                                                              </w:divBdr>
                                                              <w:divsChild>
                                                                <w:div w:id="7087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458092">
      <w:bodyDiv w:val="1"/>
      <w:marLeft w:val="0"/>
      <w:marRight w:val="0"/>
      <w:marTop w:val="0"/>
      <w:marBottom w:val="0"/>
      <w:divBdr>
        <w:top w:val="none" w:sz="0" w:space="0" w:color="auto"/>
        <w:left w:val="none" w:sz="0" w:space="0" w:color="auto"/>
        <w:bottom w:val="none" w:sz="0" w:space="0" w:color="auto"/>
        <w:right w:val="none" w:sz="0" w:space="0" w:color="auto"/>
      </w:divBdr>
      <w:divsChild>
        <w:div w:id="670138298">
          <w:marLeft w:val="0"/>
          <w:marRight w:val="0"/>
          <w:marTop w:val="0"/>
          <w:marBottom w:val="0"/>
          <w:divBdr>
            <w:top w:val="none" w:sz="0" w:space="0" w:color="auto"/>
            <w:left w:val="none" w:sz="0" w:space="0" w:color="auto"/>
            <w:bottom w:val="none" w:sz="0" w:space="0" w:color="auto"/>
            <w:right w:val="none" w:sz="0" w:space="0" w:color="auto"/>
          </w:divBdr>
          <w:divsChild>
            <w:div w:id="90204158">
              <w:marLeft w:val="0"/>
              <w:marRight w:val="0"/>
              <w:marTop w:val="100"/>
              <w:marBottom w:val="100"/>
              <w:divBdr>
                <w:top w:val="none" w:sz="0" w:space="0" w:color="auto"/>
                <w:left w:val="none" w:sz="0" w:space="0" w:color="auto"/>
                <w:bottom w:val="none" w:sz="0" w:space="0" w:color="auto"/>
                <w:right w:val="none" w:sz="0" w:space="0" w:color="auto"/>
              </w:divBdr>
              <w:divsChild>
                <w:div w:id="2091582491">
                  <w:marLeft w:val="150"/>
                  <w:marRight w:val="150"/>
                  <w:marTop w:val="0"/>
                  <w:marBottom w:val="0"/>
                  <w:divBdr>
                    <w:top w:val="none" w:sz="0" w:space="0" w:color="auto"/>
                    <w:left w:val="none" w:sz="0" w:space="0" w:color="auto"/>
                    <w:bottom w:val="none" w:sz="0" w:space="0" w:color="auto"/>
                    <w:right w:val="none" w:sz="0" w:space="0" w:color="auto"/>
                  </w:divBdr>
                  <w:divsChild>
                    <w:div w:id="226843321">
                      <w:marLeft w:val="0"/>
                      <w:marRight w:val="0"/>
                      <w:marTop w:val="0"/>
                      <w:marBottom w:val="0"/>
                      <w:divBdr>
                        <w:top w:val="none" w:sz="0" w:space="0" w:color="auto"/>
                        <w:left w:val="none" w:sz="0" w:space="0" w:color="auto"/>
                        <w:bottom w:val="none" w:sz="0" w:space="0" w:color="auto"/>
                        <w:right w:val="none" w:sz="0" w:space="0" w:color="auto"/>
                      </w:divBdr>
                      <w:divsChild>
                        <w:div w:id="1339581694">
                          <w:marLeft w:val="0"/>
                          <w:marRight w:val="0"/>
                          <w:marTop w:val="0"/>
                          <w:marBottom w:val="0"/>
                          <w:divBdr>
                            <w:top w:val="none" w:sz="0" w:space="0" w:color="auto"/>
                            <w:left w:val="none" w:sz="0" w:space="0" w:color="auto"/>
                            <w:bottom w:val="none" w:sz="0" w:space="0" w:color="auto"/>
                            <w:right w:val="none" w:sz="0" w:space="0" w:color="auto"/>
                          </w:divBdr>
                          <w:divsChild>
                            <w:div w:id="1418942279">
                              <w:marLeft w:val="0"/>
                              <w:marRight w:val="0"/>
                              <w:marTop w:val="0"/>
                              <w:marBottom w:val="0"/>
                              <w:divBdr>
                                <w:top w:val="none" w:sz="0" w:space="0" w:color="auto"/>
                                <w:left w:val="none" w:sz="0" w:space="0" w:color="auto"/>
                                <w:bottom w:val="none" w:sz="0" w:space="0" w:color="auto"/>
                                <w:right w:val="none" w:sz="0" w:space="0" w:color="auto"/>
                              </w:divBdr>
                              <w:divsChild>
                                <w:div w:id="2103525049">
                                  <w:marLeft w:val="3600"/>
                                  <w:marRight w:val="0"/>
                                  <w:marTop w:val="0"/>
                                  <w:marBottom w:val="0"/>
                                  <w:divBdr>
                                    <w:top w:val="none" w:sz="0" w:space="0" w:color="auto"/>
                                    <w:left w:val="none" w:sz="0" w:space="0" w:color="auto"/>
                                    <w:bottom w:val="none" w:sz="0" w:space="0" w:color="auto"/>
                                    <w:right w:val="none" w:sz="0" w:space="0" w:color="auto"/>
                                  </w:divBdr>
                                  <w:divsChild>
                                    <w:div w:id="935867372">
                                      <w:marLeft w:val="0"/>
                                      <w:marRight w:val="0"/>
                                      <w:marTop w:val="0"/>
                                      <w:marBottom w:val="0"/>
                                      <w:divBdr>
                                        <w:top w:val="none" w:sz="0" w:space="0" w:color="auto"/>
                                        <w:left w:val="none" w:sz="0" w:space="0" w:color="auto"/>
                                        <w:bottom w:val="none" w:sz="0" w:space="0" w:color="auto"/>
                                        <w:right w:val="none" w:sz="0" w:space="0" w:color="auto"/>
                                      </w:divBdr>
                                      <w:divsChild>
                                        <w:div w:id="1965042088">
                                          <w:marLeft w:val="0"/>
                                          <w:marRight w:val="0"/>
                                          <w:marTop w:val="0"/>
                                          <w:marBottom w:val="0"/>
                                          <w:divBdr>
                                            <w:top w:val="none" w:sz="0" w:space="0" w:color="auto"/>
                                            <w:left w:val="none" w:sz="0" w:space="0" w:color="auto"/>
                                            <w:bottom w:val="none" w:sz="0" w:space="0" w:color="auto"/>
                                            <w:right w:val="none" w:sz="0" w:space="0" w:color="auto"/>
                                          </w:divBdr>
                                          <w:divsChild>
                                            <w:div w:id="2029405435">
                                              <w:marLeft w:val="0"/>
                                              <w:marRight w:val="0"/>
                                              <w:marTop w:val="0"/>
                                              <w:marBottom w:val="0"/>
                                              <w:divBdr>
                                                <w:top w:val="none" w:sz="0" w:space="0" w:color="auto"/>
                                                <w:left w:val="none" w:sz="0" w:space="0" w:color="auto"/>
                                                <w:bottom w:val="none" w:sz="0" w:space="0" w:color="auto"/>
                                                <w:right w:val="none" w:sz="0" w:space="0" w:color="auto"/>
                                              </w:divBdr>
                                              <w:divsChild>
                                                <w:div w:id="23294243">
                                                  <w:marLeft w:val="0"/>
                                                  <w:marRight w:val="0"/>
                                                  <w:marTop w:val="0"/>
                                                  <w:marBottom w:val="0"/>
                                                  <w:divBdr>
                                                    <w:top w:val="none" w:sz="0" w:space="0" w:color="auto"/>
                                                    <w:left w:val="none" w:sz="0" w:space="0" w:color="auto"/>
                                                    <w:bottom w:val="none" w:sz="0" w:space="0" w:color="auto"/>
                                                    <w:right w:val="none" w:sz="0" w:space="0" w:color="auto"/>
                                                  </w:divBdr>
                                                  <w:divsChild>
                                                    <w:div w:id="72708347">
                                                      <w:marLeft w:val="300"/>
                                                      <w:marRight w:val="300"/>
                                                      <w:marTop w:val="0"/>
                                                      <w:marBottom w:val="0"/>
                                                      <w:divBdr>
                                                        <w:top w:val="none" w:sz="0" w:space="0" w:color="auto"/>
                                                        <w:left w:val="none" w:sz="0" w:space="0" w:color="auto"/>
                                                        <w:bottom w:val="none" w:sz="0" w:space="0" w:color="auto"/>
                                                        <w:right w:val="none" w:sz="0" w:space="0" w:color="auto"/>
                                                      </w:divBdr>
                                                      <w:divsChild>
                                                        <w:div w:id="1571694888">
                                                          <w:marLeft w:val="0"/>
                                                          <w:marRight w:val="0"/>
                                                          <w:marTop w:val="0"/>
                                                          <w:marBottom w:val="0"/>
                                                          <w:divBdr>
                                                            <w:top w:val="none" w:sz="0" w:space="0" w:color="auto"/>
                                                            <w:left w:val="none" w:sz="0" w:space="0" w:color="auto"/>
                                                            <w:bottom w:val="none" w:sz="0" w:space="0" w:color="auto"/>
                                                            <w:right w:val="none" w:sz="0" w:space="0" w:color="auto"/>
                                                          </w:divBdr>
                                                          <w:divsChild>
                                                            <w:div w:id="1198396156">
                                                              <w:marLeft w:val="0"/>
                                                              <w:marRight w:val="0"/>
                                                              <w:marTop w:val="0"/>
                                                              <w:marBottom w:val="0"/>
                                                              <w:divBdr>
                                                                <w:top w:val="none" w:sz="0" w:space="0" w:color="auto"/>
                                                                <w:left w:val="none" w:sz="0" w:space="0" w:color="auto"/>
                                                                <w:bottom w:val="none" w:sz="0" w:space="0" w:color="auto"/>
                                                                <w:right w:val="none" w:sz="0" w:space="0" w:color="auto"/>
                                                              </w:divBdr>
                                                              <w:divsChild>
                                                                <w:div w:id="129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140416">
      <w:bodyDiv w:val="1"/>
      <w:marLeft w:val="0"/>
      <w:marRight w:val="0"/>
      <w:marTop w:val="0"/>
      <w:marBottom w:val="0"/>
      <w:divBdr>
        <w:top w:val="none" w:sz="0" w:space="0" w:color="auto"/>
        <w:left w:val="none" w:sz="0" w:space="0" w:color="auto"/>
        <w:bottom w:val="none" w:sz="0" w:space="0" w:color="auto"/>
        <w:right w:val="none" w:sz="0" w:space="0" w:color="auto"/>
      </w:divBdr>
    </w:div>
    <w:div w:id="1471243078">
      <w:bodyDiv w:val="1"/>
      <w:marLeft w:val="0"/>
      <w:marRight w:val="0"/>
      <w:marTop w:val="0"/>
      <w:marBottom w:val="0"/>
      <w:divBdr>
        <w:top w:val="none" w:sz="0" w:space="0" w:color="auto"/>
        <w:left w:val="none" w:sz="0" w:space="0" w:color="auto"/>
        <w:bottom w:val="none" w:sz="0" w:space="0" w:color="auto"/>
        <w:right w:val="none" w:sz="0" w:space="0" w:color="auto"/>
      </w:divBdr>
    </w:div>
    <w:div w:id="19883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lark@camber.com" TargetMode="External"/><Relationship Id="rId5" Type="http://schemas.openxmlformats.org/officeDocument/2006/relationships/hyperlink" Target="mailto:hmori@camber.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ZONE 1 - NORTHEAST</vt:lpstr>
    </vt:vector>
  </TitlesOfParts>
  <Company>Amelex</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1 - NORTHEAST</dc:title>
  <dc:creator>Jan Roell</dc:creator>
  <cp:lastModifiedBy>Amelex</cp:lastModifiedBy>
  <cp:revision>4</cp:revision>
  <dcterms:created xsi:type="dcterms:W3CDTF">2014-01-23T18:56:00Z</dcterms:created>
  <dcterms:modified xsi:type="dcterms:W3CDTF">2014-01-23T19:21:00Z</dcterms:modified>
</cp:coreProperties>
</file>